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/>
        <w:jc w:val="center"/>
        <w:rPr>
          <w:rFonts w:ascii="仿宋" w:hAnsi="仿宋" w:eastAsia="Times New Roman" w:cs="宋体"/>
          <w:b/>
          <w:iCs/>
          <w:sz w:val="10"/>
          <w:szCs w:val="10"/>
        </w:rPr>
      </w:pPr>
    </w:p>
    <w:p>
      <w:pPr>
        <w:snapToGrid w:val="0"/>
        <w:spacing w:after="312" w:afterLines="100"/>
        <w:jc w:val="center"/>
        <w:rPr>
          <w:rFonts w:ascii="仿宋" w:hAnsi="仿宋" w:eastAsia="Times New Roman" w:cs="宋体"/>
          <w:b/>
          <w:iCs/>
          <w:sz w:val="44"/>
          <w:szCs w:val="44"/>
        </w:rPr>
      </w:pPr>
      <w:r>
        <w:pict>
          <v:shape id="_x0000_s1026" o:spid="_x0000_s1026" o:spt="75" alt="1111" type="#_x0000_t75" style="position:absolute;left:0pt;margin-left:242.2pt;margin-top:21.6pt;height:52.6pt;width:265.9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</w:p>
    <w:p>
      <w:pPr>
        <w:snapToGrid w:val="0"/>
        <w:spacing w:after="312" w:afterLines="100"/>
        <w:jc w:val="both"/>
        <w:rPr>
          <w:rFonts w:ascii="黑体" w:hAnsi="黑体" w:eastAsia="黑体" w:cs="黑体"/>
          <w:b/>
          <w:iCs/>
          <w:sz w:val="10"/>
          <w:szCs w:val="10"/>
        </w:rPr>
      </w:pPr>
    </w:p>
    <w:p>
      <w:pPr>
        <w:snapToGrid w:val="0"/>
        <w:spacing w:after="312" w:afterLines="100"/>
        <w:jc w:val="both"/>
        <w:rPr>
          <w:rFonts w:ascii="黑体" w:hAnsi="黑体" w:eastAsia="黑体" w:cs="黑体"/>
          <w:b/>
          <w:iCs/>
          <w:sz w:val="10"/>
          <w:szCs w:val="10"/>
        </w:rPr>
      </w:pPr>
    </w:p>
    <w:p>
      <w:pPr>
        <w:snapToGrid w:val="0"/>
        <w:spacing w:after="312" w:afterLines="100"/>
        <w:jc w:val="center"/>
        <w:rPr>
          <w:rFonts w:ascii="黑体" w:hAnsi="黑体" w:eastAsia="黑体" w:cs="黑体"/>
          <w:b/>
          <w:iCs/>
          <w:sz w:val="36"/>
          <w:szCs w:val="36"/>
        </w:rPr>
      </w:pPr>
      <w:r>
        <w:rPr>
          <w:rFonts w:hint="eastAsia" w:ascii="黑体" w:hAnsi="黑体" w:eastAsia="黑体" w:cs="黑体"/>
          <w:b/>
          <w:iCs/>
          <w:sz w:val="36"/>
          <w:szCs w:val="36"/>
        </w:rPr>
        <w:t>雁塔校区校园建筑及其附属设备设施运行、维护</w:t>
      </w:r>
    </w:p>
    <w:p>
      <w:pPr>
        <w:snapToGrid w:val="0"/>
        <w:spacing w:after="312" w:afterLines="100"/>
        <w:jc w:val="center"/>
        <w:rPr>
          <w:rFonts w:ascii="黑体" w:hAnsi="黑体" w:eastAsia="黑体" w:cs="黑体"/>
          <w:b/>
          <w:iCs/>
          <w:sz w:val="36"/>
          <w:szCs w:val="36"/>
        </w:rPr>
      </w:pPr>
      <w:r>
        <w:rPr>
          <w:rFonts w:hint="eastAsia" w:ascii="黑体" w:hAnsi="黑体" w:eastAsia="黑体" w:cs="黑体"/>
          <w:b/>
          <w:iCs/>
          <w:sz w:val="36"/>
          <w:szCs w:val="36"/>
        </w:rPr>
        <w:t>及安全管理自查报表</w:t>
      </w:r>
    </w:p>
    <w:p>
      <w:pPr>
        <w:snapToGrid w:val="0"/>
        <w:spacing w:after="312" w:afterLines="100"/>
        <w:jc w:val="center"/>
        <w:rPr>
          <w:rFonts w:ascii="黑体" w:hAnsi="黑体" w:eastAsia="黑体" w:cs="黑体"/>
          <w:b/>
          <w:iCs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</w:t>
      </w:r>
    </w:p>
    <w:p>
      <w:pPr>
        <w:spacing w:line="360" w:lineRule="auto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3</w:t>
      </w:r>
    </w:p>
    <w:p>
      <w:pPr>
        <w:spacing w:line="360" w:lineRule="auto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期</w:t>
      </w:r>
    </w:p>
    <w:p>
      <w:pPr>
        <w:spacing w:line="360" w:lineRule="auto"/>
        <w:rPr>
          <w:rFonts w:ascii="宋体" w:hAnsi="宋体"/>
          <w:b/>
          <w:sz w:val="40"/>
          <w:szCs w:val="40"/>
        </w:rPr>
      </w:pPr>
    </w:p>
    <w:p>
      <w:pPr>
        <w:spacing w:line="360" w:lineRule="auto"/>
        <w:jc w:val="center"/>
        <w:rPr>
          <w:rFonts w:ascii="宋体" w:hAnsi="宋体"/>
          <w:b/>
          <w:sz w:val="13"/>
          <w:szCs w:val="13"/>
        </w:rPr>
      </w:pPr>
    </w:p>
    <w:p>
      <w:pPr>
        <w:spacing w:line="360" w:lineRule="auto"/>
        <w:jc w:val="center"/>
        <w:rPr>
          <w:rFonts w:ascii="宋体" w:hAnsi="宋体"/>
          <w:b/>
          <w:sz w:val="40"/>
          <w:szCs w:val="40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总务处</w:t>
      </w:r>
    </w:p>
    <w:p>
      <w:pPr>
        <w:spacing w:line="360" w:lineRule="auto"/>
        <w:jc w:val="center"/>
        <w:rPr>
          <w:rFonts w:ascii="宋体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2018年5月7日编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40"/>
          <w:szCs w:val="40"/>
        </w:rPr>
        <w:t>审</w:t>
      </w:r>
      <w:r>
        <w:rPr>
          <w:rFonts w:ascii="宋体" w:hAnsi="宋体"/>
          <w:b/>
          <w:sz w:val="40"/>
          <w:szCs w:val="40"/>
        </w:rPr>
        <w:t xml:space="preserve">  </w:t>
      </w:r>
      <w:r>
        <w:rPr>
          <w:rFonts w:hint="eastAsia" w:ascii="宋体" w:hAnsi="宋体"/>
          <w:b/>
          <w:sz w:val="40"/>
          <w:szCs w:val="40"/>
        </w:rPr>
        <w:t>阅</w:t>
      </w:r>
      <w:r>
        <w:rPr>
          <w:rFonts w:ascii="宋体" w:hAnsi="宋体"/>
          <w:b/>
          <w:sz w:val="40"/>
          <w:szCs w:val="40"/>
        </w:rPr>
        <w:t xml:space="preserve">  </w:t>
      </w:r>
      <w:r>
        <w:rPr>
          <w:rFonts w:hint="eastAsia" w:ascii="宋体" w:hAnsi="宋体"/>
          <w:b/>
          <w:sz w:val="40"/>
          <w:szCs w:val="40"/>
        </w:rPr>
        <w:t>单</w:t>
      </w:r>
    </w:p>
    <w:tbl>
      <w:tblPr>
        <w:tblStyle w:val="8"/>
        <w:tblpPr w:leftFromText="180" w:rightFromText="180" w:vertAnchor="text" w:horzAnchor="margin" w:tblpXSpec="center" w:tblpY="98"/>
        <w:tblOverlap w:val="never"/>
        <w:tblW w:w="1493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654"/>
        <w:gridCol w:w="1801"/>
        <w:gridCol w:w="3524"/>
        <w:gridCol w:w="931"/>
        <w:gridCol w:w="44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931" w:type="dxa"/>
            <w:gridSpan w:val="6"/>
            <w:tcBorders>
              <w:tl2br w:val="nil"/>
              <w:tr2bl w:val="nil"/>
            </w:tcBorders>
            <w:shd w:val="pct10" w:color="auto" w:fill="auto"/>
            <w:vAlign w:val="center"/>
          </w:tcPr>
          <w:p>
            <w:pPr>
              <w:spacing w:line="48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报送内容：雁塔校区校园建筑及其附属设备设施运行、维护和安全管理自查报表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21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送审人：</w:t>
            </w:r>
            <w:r>
              <w:rPr>
                <w:rFonts w:hint="eastAsia" w:ascii="宋体" w:hAnsi="宋体"/>
                <w:szCs w:val="21"/>
                <w:lang w:eastAsia="zh-CN"/>
              </w:rPr>
              <w:t>赵星</w:t>
            </w:r>
          </w:p>
        </w:tc>
        <w:tc>
          <w:tcPr>
            <w:tcW w:w="532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</w:pPr>
            <w:r>
              <w:rPr>
                <w:rFonts w:hint="eastAsia" w:ascii="宋体" w:hAnsi="宋体"/>
                <w:szCs w:val="21"/>
              </w:rPr>
              <w:t>报送科室：生产安全与综合管理科</w:t>
            </w:r>
          </w:p>
        </w:tc>
        <w:tc>
          <w:tcPr>
            <w:tcW w:w="538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审核人：杜玉峰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21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line="48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报表周期：</w:t>
            </w: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8年4月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>——</w:t>
            </w:r>
            <w:r>
              <w:rPr>
                <w:rFonts w:hint="eastAsia" w:ascii="宋体" w:hAnsi="宋体"/>
                <w:szCs w:val="21"/>
              </w:rPr>
              <w:t>4月30日</w:t>
            </w:r>
          </w:p>
        </w:tc>
        <w:tc>
          <w:tcPr>
            <w:tcW w:w="532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</w:pPr>
            <w:r>
              <w:rPr>
                <w:rFonts w:hint="eastAsia" w:ascii="宋体" w:hAnsi="宋体"/>
                <w:szCs w:val="21"/>
              </w:rPr>
              <w:t>制作日期：</w:t>
            </w: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8年5月7日</w:t>
            </w:r>
          </w:p>
        </w:tc>
        <w:tc>
          <w:tcPr>
            <w:tcW w:w="538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送审日期：</w:t>
            </w: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8年5月7日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未处理问题及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重点问题</w:t>
            </w:r>
          </w:p>
        </w:tc>
        <w:tc>
          <w:tcPr>
            <w:tcW w:w="1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处长意见</w:t>
            </w:r>
          </w:p>
        </w:tc>
        <w:tc>
          <w:tcPr>
            <w:tcW w:w="1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210"/>
              <w:rPr>
                <w:rFonts w:ascii="宋体"/>
                <w:szCs w:val="21"/>
                <w:u w:val="singl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分管处长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4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/>
                <w:szCs w:val="21"/>
                <w:u w:val="single"/>
              </w:rPr>
            </w:pPr>
            <w:bookmarkStart w:id="1" w:name="_GoBack"/>
            <w:bookmarkEnd w:id="1"/>
          </w:p>
        </w:tc>
        <w:tc>
          <w:tcPr>
            <w:tcW w:w="4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/>
                <w:szCs w:val="21"/>
                <w:u w:val="single"/>
              </w:rPr>
            </w:pPr>
          </w:p>
        </w:tc>
        <w:tc>
          <w:tcPr>
            <w:tcW w:w="44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/>
                <w:szCs w:val="21"/>
                <w:u w:val="single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eastAsia="Times New Roman" w:cs="宋体"/>
          <w:b/>
          <w:bCs/>
          <w:kern w:val="0"/>
          <w:sz w:val="36"/>
          <w:szCs w:val="36"/>
        </w:rPr>
        <w:sectPr>
          <w:pgSz w:w="16838" w:h="11906" w:orient="landscape"/>
          <w:pgMar w:top="720" w:right="720" w:bottom="720" w:left="720" w:header="851" w:footer="45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编制说明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kern w:val="0"/>
          <w:sz w:val="36"/>
          <w:szCs w:val="36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为加强我校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生产安全</w:t>
      </w:r>
      <w:r>
        <w:rPr>
          <w:rFonts w:hint="eastAsia" w:ascii="仿宋_GB2312" w:hAnsi="仿宋_GB2312" w:eastAsia="仿宋_GB2312" w:cs="仿宋_GB2312"/>
          <w:sz w:val="28"/>
          <w:szCs w:val="28"/>
        </w:rPr>
        <w:t>管理，提升后勤服务质量，总务处借助标准化建设，通过精细化管理，对我校动力供应、特种设备运行、饮食服务以及修缮工程施工等工作依据行业相关标准，规范化、制度化进行安全管理。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各项业务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的日常安全检查要点内容进行编制，分别从检查过程中存在的问题、整改措施、整改结果等方面进行汇总上报，通过排查隐患及整改措施减少安全事故的发生，确保学校教育教学工作顺利开展，为我校师生、住户提供安全、舒适的校园环境及生活环境。   </w:t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负 责 人：</w:t>
      </w:r>
      <w:r>
        <w:rPr>
          <w:rFonts w:hint="eastAsia" w:ascii="仿宋_GB2312" w:hAnsi="仿宋_GB2312" w:eastAsia="仿宋_GB2312" w:cs="仿宋_GB2312"/>
          <w:sz w:val="28"/>
          <w:szCs w:val="28"/>
        </w:rPr>
        <w:t>刘  虹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审 核 人：</w:t>
      </w:r>
      <w:r>
        <w:rPr>
          <w:rFonts w:hint="eastAsia" w:ascii="仿宋_GB2312" w:hAnsi="仿宋_GB2312" w:eastAsia="仿宋_GB2312" w:cs="仿宋_GB2312"/>
          <w:sz w:val="28"/>
          <w:szCs w:val="28"/>
        </w:rPr>
        <w:t>杜玉峰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吉  华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业务主管：</w:t>
      </w:r>
      <w:r>
        <w:rPr>
          <w:rFonts w:hint="eastAsia" w:ascii="仿宋_GB2312" w:hAnsi="仿宋_GB2312" w:eastAsia="仿宋_GB2312" w:cs="仿宋_GB2312"/>
          <w:sz w:val="28"/>
          <w:szCs w:val="28"/>
        </w:rPr>
        <w:t>杜玉峰  杨建安  赵  珊  张福尧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编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写：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赵欣悦  吉  华  李金丽  张福尧 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汇 总 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：赵  星</w:t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据：</w:t>
      </w:r>
      <w:r>
        <w:rPr>
          <w:rFonts w:hint="eastAsia" w:ascii="仿宋_GB2312" w:hAnsi="仿宋_GB2312" w:eastAsia="仿宋_GB2312" w:cs="仿宋_GB2312"/>
          <w:sz w:val="28"/>
          <w:szCs w:val="28"/>
        </w:rPr>
        <w:t>行业标准规范、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《总务处设备设施维护及安全管理暂行规定》、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《生产安全日常检查要点手册》                                  </w:t>
      </w:r>
    </w:p>
    <w:p>
      <w:pPr>
        <w:ind w:firstLine="562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业务范围：</w:t>
      </w:r>
      <w:r>
        <w:rPr>
          <w:rFonts w:hint="eastAsia" w:ascii="仿宋_GB2312" w:hAnsi="仿宋_GB2312" w:eastAsia="仿宋_GB2312" w:cs="仿宋_GB2312"/>
          <w:sz w:val="28"/>
          <w:szCs w:val="28"/>
        </w:rPr>
        <w:t>供  水  供  电  供   暖  电梯运行  饮食供应   修缮工程施工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填表说明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1、本表两周填写1次，每月报送1次并汇总制作，内容填报时间由当月1日至30日。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2、对所发现问题用不同颜色标注以区分其解决情况：第1次发现而未解决用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</w:rPr>
        <w:t>黄色标注</w:t>
      </w:r>
      <w:r>
        <w:rPr>
          <w:rFonts w:hint="eastAsia" w:ascii="仿宋_GB2312" w:hAnsi="仿宋_GB2312" w:eastAsia="仿宋_GB2312" w:cs="仿宋_GB2312"/>
          <w:sz w:val="28"/>
          <w:szCs w:val="28"/>
        </w:rPr>
        <w:t>，第2次发现而未解决用</w:t>
      </w:r>
      <w:r>
        <w:rPr>
          <w:rFonts w:hint="eastAsia" w:ascii="仿宋_GB2312" w:hAnsi="仿宋_GB2312" w:eastAsia="仿宋_GB2312" w:cs="仿宋_GB2312"/>
          <w:sz w:val="28"/>
          <w:szCs w:val="28"/>
          <w:highlight w:val="magenta"/>
        </w:rPr>
        <w:t>粉色标注</w:t>
      </w:r>
      <w:r>
        <w:rPr>
          <w:rFonts w:hint="eastAsia" w:ascii="仿宋_GB2312" w:hAnsi="仿宋_GB2312" w:eastAsia="仿宋_GB2312" w:cs="仿宋_GB2312"/>
          <w:sz w:val="28"/>
          <w:szCs w:val="28"/>
        </w:rPr>
        <w:t>，第3次或三次以上发现而未解决用</w:t>
      </w:r>
      <w:r>
        <w:rPr>
          <w:rFonts w:hint="eastAsia" w:ascii="仿宋_GB2312" w:hAnsi="仿宋_GB2312" w:eastAsia="仿宋_GB2312" w:cs="仿宋_GB2312"/>
          <w:sz w:val="28"/>
          <w:szCs w:val="28"/>
          <w:highlight w:val="red"/>
        </w:rPr>
        <w:t>红色标注</w:t>
      </w:r>
      <w:r>
        <w:rPr>
          <w:rFonts w:hint="eastAsia" w:ascii="仿宋_GB2312" w:hAnsi="仿宋_GB2312" w:eastAsia="仿宋_GB2312" w:cs="仿宋_GB2312"/>
          <w:sz w:val="28"/>
          <w:szCs w:val="28"/>
        </w:rPr>
        <w:t>，对于重点问题用</w:t>
      </w:r>
      <w:r>
        <w:rPr>
          <w:rFonts w:hint="eastAsia" w:ascii="仿宋_GB2312" w:hAnsi="仿宋_GB2312" w:eastAsia="仿宋_GB2312" w:cs="仿宋_GB2312"/>
          <w:color w:val="FFFFFF"/>
          <w:sz w:val="28"/>
          <w:szCs w:val="28"/>
          <w:highlight w:val="darkRed"/>
        </w:rPr>
        <w:t>深红色标注</w:t>
      </w:r>
      <w:r>
        <w:rPr>
          <w:rFonts w:hint="eastAsia" w:ascii="仿宋_GB2312" w:hAnsi="仿宋_GB2312" w:eastAsia="仿宋_GB2312" w:cs="仿宋_GB2312"/>
          <w:sz w:val="28"/>
          <w:szCs w:val="28"/>
        </w:rPr>
        <w:t>突出体现。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3、“运行状况”栏填写“正常”或“异常”。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4、“存在问题”、“整改措施”栏所填内容详细、准确。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5、“整改结果”栏填写“已整改”、“正在整改”或“未整改”。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6、编写人如实填写报表内容，及时处理存在问题；审核人严格审查报表格式及内容，并督促整改问题。</w:t>
      </w:r>
    </w:p>
    <w:p>
      <w:pPr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7、本期报表应体现上期未整改项，详细填写存在问题的整改实施进度。</w:t>
      </w:r>
    </w:p>
    <w:p>
      <w:pPr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8、主送处长、副处长，抄送主管副校长。</w:t>
      </w:r>
    </w:p>
    <w:p>
      <w:pPr>
        <w:spacing w:line="360" w:lineRule="auto"/>
        <w:ind w:firstLine="560"/>
        <w:rPr>
          <w:rFonts w:ascii="??_GB2312" w:hAnsi="仿宋" w:eastAsia="Times New Roman"/>
          <w:sz w:val="28"/>
          <w:szCs w:val="28"/>
        </w:rPr>
      </w:pPr>
    </w:p>
    <w:p>
      <w:pPr>
        <w:spacing w:line="360" w:lineRule="auto"/>
        <w:ind w:firstLine="560"/>
        <w:rPr>
          <w:rFonts w:ascii="??_GB2312" w:hAnsi="仿宋" w:eastAsia="Times New Roman"/>
          <w:sz w:val="28"/>
          <w:szCs w:val="28"/>
        </w:rPr>
      </w:pPr>
    </w:p>
    <w:p>
      <w:pPr>
        <w:spacing w:line="360" w:lineRule="auto"/>
        <w:ind w:firstLine="560"/>
        <w:rPr>
          <w:rFonts w:ascii="??_GB2312" w:hAnsi="仿宋" w:eastAsia="Times New Roman"/>
          <w:sz w:val="28"/>
          <w:szCs w:val="28"/>
        </w:rPr>
      </w:pPr>
    </w:p>
    <w:p>
      <w:pPr>
        <w:spacing w:line="360" w:lineRule="auto"/>
        <w:jc w:val="center"/>
        <w:outlineLvl w:val="0"/>
        <w:rPr>
          <w:rFonts w:ascii="宋体" w:hAnsi="宋体" w:cs="宋体"/>
          <w:color w:val="000000"/>
          <w:sz w:val="36"/>
          <w:szCs w:val="36"/>
        </w:rPr>
      </w:pPr>
      <w:r>
        <w:rPr>
          <w:rFonts w:hint="eastAsia" w:ascii="宋体" w:hAnsi="宋体" w:cs="宋体"/>
          <w:color w:val="000000"/>
          <w:sz w:val="36"/>
          <w:szCs w:val="36"/>
        </w:rPr>
        <w:t>安全自查报表第</w:t>
      </w:r>
      <w:r>
        <w:rPr>
          <w:rFonts w:hint="eastAsia" w:ascii="宋体" w:hAnsi="宋体" w:cs="宋体"/>
          <w:color w:val="000000"/>
          <w:sz w:val="36"/>
          <w:szCs w:val="36"/>
          <w:u w:val="single"/>
        </w:rPr>
        <w:t xml:space="preserve">   </w:t>
      </w:r>
      <w:r>
        <w:rPr>
          <w:rFonts w:hint="eastAsia" w:ascii="宋体" w:hAnsi="宋体" w:cs="宋体"/>
          <w:color w:val="000000"/>
          <w:sz w:val="36"/>
          <w:szCs w:val="36"/>
        </w:rPr>
        <w:t>期问题解决情况报告</w:t>
      </w:r>
    </w:p>
    <w:p>
      <w:pPr>
        <w:spacing w:line="360" w:lineRule="auto"/>
        <w:jc w:val="center"/>
        <w:outlineLvl w:val="0"/>
        <w:rPr>
          <w:rFonts w:ascii="宋体" w:hAnsi="宋体" w:cs="宋体"/>
          <w:color w:val="000000"/>
          <w:sz w:val="36"/>
          <w:szCs w:val="36"/>
        </w:rPr>
      </w:pPr>
    </w:p>
    <w:tbl>
      <w:tblPr>
        <w:tblStyle w:val="8"/>
        <w:tblW w:w="134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58"/>
        <w:gridCol w:w="5638"/>
        <w:gridCol w:w="4057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报送科室</w:t>
            </w: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所属表格</w:t>
            </w:r>
          </w:p>
        </w:tc>
        <w:tc>
          <w:tcPr>
            <w:tcW w:w="5638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存在问题</w:t>
            </w:r>
          </w:p>
        </w:tc>
        <w:tc>
          <w:tcPr>
            <w:tcW w:w="4057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整改措施</w:t>
            </w:r>
          </w:p>
        </w:tc>
        <w:tc>
          <w:tcPr>
            <w:tcW w:w="129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638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638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638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638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638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638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638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5638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4057" w:type="dxa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宋体" w:cs="宋体"/>
                <w:b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 w:after="312" w:afterLines="100" w:line="320" w:lineRule="exact"/>
        <w:rPr>
          <w:rFonts w:ascii="宋体" w:hAnsi="宋体" w:cs="宋体"/>
          <w:b/>
          <w:szCs w:val="21"/>
        </w:rPr>
      </w:pPr>
    </w:p>
    <w:p>
      <w:pPr>
        <w:spacing w:line="360" w:lineRule="auto"/>
        <w:rPr>
          <w:rFonts w:ascii="??_GB2312" w:hAnsi="仿宋" w:eastAsia="Times New Roman"/>
          <w:sz w:val="36"/>
          <w:szCs w:val="36"/>
        </w:rPr>
      </w:pPr>
    </w:p>
    <w:p>
      <w:pPr>
        <w:spacing w:line="360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目</w:t>
      </w:r>
      <w:r>
        <w:rPr>
          <w:rFonts w:ascii="宋体" w:hAnsi="宋体"/>
          <w:b/>
          <w:bCs/>
          <w:sz w:val="36"/>
          <w:szCs w:val="36"/>
        </w:rPr>
        <w:t xml:space="preserve">    </w:t>
      </w:r>
      <w:r>
        <w:rPr>
          <w:rFonts w:hint="eastAsia" w:ascii="宋体" w:hAnsi="宋体"/>
          <w:b/>
          <w:bCs/>
          <w:sz w:val="36"/>
          <w:szCs w:val="36"/>
        </w:rPr>
        <w:t>录</w:t>
      </w:r>
    </w:p>
    <w:p>
      <w:pPr>
        <w:spacing w:line="360" w:lineRule="auto"/>
        <w:jc w:val="center"/>
        <w:rPr>
          <w:rFonts w:ascii="宋体"/>
          <w:b/>
          <w:bCs/>
          <w:sz w:val="44"/>
          <w:szCs w:val="44"/>
        </w:rPr>
      </w:pPr>
    </w:p>
    <w:p>
      <w:pPr>
        <w:pStyle w:val="6"/>
        <w:tabs>
          <w:tab w:val="right" w:leader="dot" w:pos="13238"/>
        </w:tabs>
        <w:spacing w:line="6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fldChar w:fldCharType="begin"/>
      </w:r>
      <w:r>
        <w:rPr>
          <w:rFonts w:hint="eastAsia" w:ascii="宋体" w:hAnsi="宋体" w:cs="宋体"/>
          <w:b/>
          <w:sz w:val="24"/>
        </w:rPr>
        <w:instrText xml:space="preserve">TOC \o "1-3" \h \u </w:instrText>
      </w:r>
      <w:r>
        <w:rPr>
          <w:rFonts w:hint="eastAsia" w:ascii="宋体" w:hAnsi="宋体" w:cs="宋体"/>
          <w:b/>
          <w:sz w:val="24"/>
        </w:rPr>
        <w:fldChar w:fldCharType="separate"/>
      </w:r>
      <w:r>
        <w:fldChar w:fldCharType="begin"/>
      </w:r>
      <w:r>
        <w:instrText xml:space="preserve"> HYPERLINK \l "_Toc22317" </w:instrText>
      </w:r>
      <w:r>
        <w:fldChar w:fldCharType="separate"/>
      </w:r>
      <w:r>
        <w:rPr>
          <w:rFonts w:hint="eastAsia" w:ascii="宋体" w:hAnsi="宋体" w:cs="宋体"/>
          <w:sz w:val="24"/>
        </w:rPr>
        <w:t>表1：雁塔校区供水设备设施安全自查报表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fldChar w:fldCharType="end"/>
      </w:r>
    </w:p>
    <w:p>
      <w:pPr>
        <w:pStyle w:val="6"/>
        <w:tabs>
          <w:tab w:val="right" w:leader="dot" w:pos="13238"/>
        </w:tabs>
        <w:spacing w:line="660" w:lineRule="exact"/>
        <w:rPr>
          <w:rFonts w:ascii="宋体" w:hAnsi="宋体" w:cs="宋体"/>
          <w:sz w:val="24"/>
        </w:rPr>
      </w:pPr>
      <w:r>
        <w:fldChar w:fldCharType="begin"/>
      </w:r>
      <w:r>
        <w:instrText xml:space="preserve"> HYPERLINK \l "_Toc31992" </w:instrText>
      </w:r>
      <w:r>
        <w:fldChar w:fldCharType="separate"/>
      </w:r>
      <w:r>
        <w:rPr>
          <w:rFonts w:hint="eastAsia" w:ascii="宋体" w:hAnsi="宋体" w:cs="宋体"/>
          <w:sz w:val="24"/>
        </w:rPr>
        <w:t>表2：雁塔校区配电室设备设施及供电安全自查报表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fldChar w:fldCharType="end"/>
      </w:r>
    </w:p>
    <w:p>
      <w:pPr>
        <w:pStyle w:val="6"/>
        <w:tabs>
          <w:tab w:val="right" w:leader="dot" w:pos="13238"/>
        </w:tabs>
        <w:spacing w:line="660" w:lineRule="exact"/>
        <w:rPr>
          <w:rFonts w:ascii="宋体" w:hAnsi="宋体" w:cs="宋体"/>
          <w:sz w:val="24"/>
        </w:rPr>
      </w:pPr>
      <w:r>
        <w:fldChar w:fldCharType="begin"/>
      </w:r>
      <w:r>
        <w:instrText xml:space="preserve"> HYPERLINK \l "_Toc26026" </w:instrText>
      </w:r>
      <w:r>
        <w:fldChar w:fldCharType="separate"/>
      </w:r>
      <w:r>
        <w:rPr>
          <w:rFonts w:hint="eastAsia" w:ascii="宋体" w:hAnsi="宋体" w:cs="宋体"/>
          <w:sz w:val="24"/>
        </w:rPr>
        <w:t>表3：雁塔校区供暖设备设施安全自查报表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fldChar w:fldCharType="end"/>
      </w:r>
    </w:p>
    <w:p>
      <w:pPr>
        <w:pStyle w:val="6"/>
        <w:tabs>
          <w:tab w:val="right" w:leader="dot" w:pos="13238"/>
        </w:tabs>
        <w:spacing w:line="660" w:lineRule="exact"/>
        <w:rPr>
          <w:rFonts w:ascii="宋体" w:hAnsi="宋体" w:cs="宋体"/>
          <w:sz w:val="24"/>
        </w:rPr>
      </w:pPr>
      <w:r>
        <w:fldChar w:fldCharType="begin"/>
      </w:r>
      <w:r>
        <w:instrText xml:space="preserve"> HYPERLINK \l "_Toc9551" </w:instrText>
      </w:r>
      <w:r>
        <w:fldChar w:fldCharType="separate"/>
      </w:r>
      <w:r>
        <w:rPr>
          <w:rFonts w:hint="eastAsia" w:ascii="宋体" w:hAnsi="宋体" w:cs="宋体"/>
          <w:sz w:val="24"/>
        </w:rPr>
        <w:t>表4：雁塔校区电梯设备安全检查报表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6</w:t>
      </w:r>
      <w:r>
        <w:rPr>
          <w:rFonts w:hint="eastAsia" w:ascii="宋体" w:hAnsi="宋体" w:cs="宋体"/>
          <w:sz w:val="24"/>
        </w:rPr>
        <w:fldChar w:fldCharType="end"/>
      </w:r>
    </w:p>
    <w:p>
      <w:pPr>
        <w:pStyle w:val="6"/>
        <w:tabs>
          <w:tab w:val="right" w:leader="dot" w:pos="13238"/>
        </w:tabs>
        <w:spacing w:line="660" w:lineRule="exact"/>
        <w:rPr>
          <w:rFonts w:ascii="宋体" w:hAnsi="宋体" w:cs="宋体"/>
          <w:sz w:val="24"/>
        </w:rPr>
      </w:pPr>
      <w:r>
        <w:fldChar w:fldCharType="begin"/>
      </w:r>
      <w:r>
        <w:instrText xml:space="preserve"> HYPERLINK \l "_Toc6959" </w:instrText>
      </w:r>
      <w:r>
        <w:fldChar w:fldCharType="separate"/>
      </w:r>
      <w:r>
        <w:rPr>
          <w:rFonts w:hint="eastAsia" w:ascii="宋体" w:hAnsi="宋体" w:cs="宋体"/>
          <w:sz w:val="24"/>
        </w:rPr>
        <w:t>表5：雁塔校区饮食卫生监督检查报表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8</w:t>
      </w:r>
      <w:r>
        <w:rPr>
          <w:rFonts w:hint="eastAsia" w:ascii="宋体" w:hAnsi="宋体" w:cs="宋体"/>
          <w:sz w:val="24"/>
        </w:rPr>
        <w:fldChar w:fldCharType="end"/>
      </w:r>
    </w:p>
    <w:p>
      <w:pPr>
        <w:pStyle w:val="6"/>
        <w:tabs>
          <w:tab w:val="right" w:leader="dot" w:pos="13238"/>
        </w:tabs>
        <w:spacing w:line="660" w:lineRule="exact"/>
        <w:rPr>
          <w:rFonts w:ascii="宋体" w:hAnsi="宋体" w:cs="宋体"/>
          <w:sz w:val="24"/>
        </w:rPr>
      </w:pPr>
      <w:r>
        <w:fldChar w:fldCharType="begin"/>
      </w:r>
      <w:r>
        <w:instrText xml:space="preserve"> HYPERLINK \l "_Toc16966" </w:instrText>
      </w:r>
      <w:r>
        <w:fldChar w:fldCharType="separate"/>
      </w:r>
      <w:r>
        <w:rPr>
          <w:rFonts w:hint="eastAsia" w:ascii="宋体" w:hAnsi="宋体" w:cs="宋体"/>
          <w:sz w:val="24"/>
        </w:rPr>
        <w:t>表6：</w:t>
      </w:r>
      <w:r>
        <w:rPr>
          <w:rFonts w:hint="eastAsia" w:ascii="宋体" w:hAnsi="宋体" w:cs="宋体"/>
          <w:bCs/>
          <w:sz w:val="24"/>
        </w:rPr>
        <w:t>雁塔校区垃圾压缩站设备设施安全自查报表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0</w:t>
      </w:r>
    </w:p>
    <w:p>
      <w:pPr>
        <w:pStyle w:val="6"/>
        <w:tabs>
          <w:tab w:val="right" w:leader="dot" w:pos="13238"/>
        </w:tabs>
        <w:spacing w:line="660" w:lineRule="exact"/>
        <w:rPr>
          <w:rFonts w:ascii="宋体" w:hAnsi="宋体" w:cs="宋体"/>
          <w:sz w:val="24"/>
        </w:rPr>
      </w:pPr>
      <w:r>
        <w:fldChar w:fldCharType="begin"/>
      </w:r>
      <w:r>
        <w:instrText xml:space="preserve"> HYPERLINK \l "_Toc17662" </w:instrText>
      </w:r>
      <w:r>
        <w:fldChar w:fldCharType="separate"/>
      </w:r>
      <w:r>
        <w:rPr>
          <w:rFonts w:hint="eastAsia" w:ascii="宋体" w:hAnsi="宋体" w:cs="宋体"/>
          <w:sz w:val="24"/>
        </w:rPr>
        <w:t>表7：雁塔校区修缮工程施工现场安全检查日查月报表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1</w:t>
      </w:r>
    </w:p>
    <w:p>
      <w:pPr>
        <w:spacing w:before="156" w:beforeLines="50" w:after="156" w:afterLines="50" w:line="660" w:lineRule="exact"/>
        <w:ind w:firstLine="188" w:firstLineChars="78"/>
        <w:jc w:val="center"/>
        <w:outlineLvl w:val="0"/>
        <w:rPr>
          <w:rFonts w:ascii="宋体" w:hAnsi="宋体" w:cs="宋体"/>
          <w:b/>
          <w:sz w:val="24"/>
        </w:rPr>
        <w:sectPr>
          <w:headerReference r:id="rId3" w:type="default"/>
          <w:pgSz w:w="16838" w:h="11906" w:orient="landscape"/>
          <w:pgMar w:top="1440" w:right="1800" w:bottom="1440" w:left="1800" w:header="851" w:footer="45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docGrid w:type="lines" w:linePitch="312" w:charSpace="0"/>
        </w:sectPr>
      </w:pPr>
      <w:r>
        <w:rPr>
          <w:rFonts w:hint="eastAsia" w:ascii="宋体" w:hAnsi="宋体" w:cs="宋体"/>
          <w:b/>
          <w:sz w:val="24"/>
        </w:rPr>
        <w:fldChar w:fldCharType="end"/>
      </w:r>
      <w:bookmarkStart w:id="0" w:name="_Toc18101"/>
    </w:p>
    <w:bookmarkEnd w:id="0"/>
    <w:p>
      <w:pPr>
        <w:adjustRightInd w:val="0"/>
        <w:snapToGrid w:val="0"/>
        <w:spacing w:before="156" w:beforeLines="50" w:after="312" w:afterLines="100" w:line="320" w:lineRule="exac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表1-1：雁塔校区供水设备设施安全自查报表(4月1日—4月15日)                                            巡查人：王智刚</w:t>
      </w:r>
    </w:p>
    <w:tbl>
      <w:tblPr>
        <w:tblStyle w:val="8"/>
        <w:tblW w:w="15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405"/>
        <w:gridCol w:w="1989"/>
        <w:gridCol w:w="1035"/>
        <w:gridCol w:w="3365"/>
        <w:gridCol w:w="185"/>
        <w:gridCol w:w="1037"/>
        <w:gridCol w:w="1753"/>
        <w:gridCol w:w="933"/>
        <w:gridCol w:w="2282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供水系统名称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设备类型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巡查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日期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参数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运行状况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存在问题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整改措施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大楼北水泵房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管网加压泵（6台）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4.13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2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恒压罐（1台）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4.13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2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排风系统（1套）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4.13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2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污水泵（2台）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4.13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2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控制柜（1面）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4.13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2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大楼负一楼加压设备间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1号变频加压泵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4.13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Cs w:val="21"/>
              </w:rPr>
              <w:t>变频温度：19℃；累计功耗：1684KWH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2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2号变频加压泵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4.13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变频温度：22℃；累计功耗：1553KWH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2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3号变频加压泵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4.13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变频温度：18℃；累计功耗：47.15KWH 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2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恒压罐（1台）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4.13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2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</w:tcPr>
          <w:tbl>
            <w:tblPr>
              <w:tblStyle w:val="8"/>
              <w:tblW w:w="15593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高压腔压力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超高压腔压力</w:t>
                  </w:r>
                </w:p>
              </w:tc>
            </w:tr>
          </w:tbl>
          <w:p/>
        </w:tc>
        <w:tc>
          <w:tcPr>
            <w:tcW w:w="103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4.13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压力:0.49MP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2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</w:tcPr>
          <w:tbl>
            <w:tblPr>
              <w:tblStyle w:val="8"/>
              <w:tblW w:w="15593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超高压腔压力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超高压腔压力</w:t>
                  </w:r>
                </w:p>
              </w:tc>
            </w:tr>
          </w:tbl>
          <w:p/>
        </w:tc>
        <w:tc>
          <w:tcPr>
            <w:tcW w:w="103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4.13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压力:0.50MP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2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控制柜（1面）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4.13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2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主要阶段性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保养工作</w:t>
            </w:r>
          </w:p>
        </w:tc>
        <w:tc>
          <w:tcPr>
            <w:tcW w:w="13643" w:type="dxa"/>
            <w:gridSpan w:val="9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其它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需要说明</w:t>
            </w:r>
            <w:r>
              <w:rPr>
                <w:rFonts w:hint="eastAsia" w:ascii="宋体" w:hAnsi="宋体" w:cs="宋体"/>
                <w:b/>
                <w:szCs w:val="21"/>
              </w:rPr>
              <w:t>的问题</w:t>
            </w:r>
          </w:p>
        </w:tc>
        <w:tc>
          <w:tcPr>
            <w:tcW w:w="13643" w:type="dxa"/>
            <w:gridSpan w:val="9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每周定期启动管网加压泵一次。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市政管网压力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0.35Mpa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日均用水量（吨）</w:t>
            </w:r>
          </w:p>
        </w:tc>
        <w:tc>
          <w:tcPr>
            <w:tcW w:w="427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4300</w:t>
            </w:r>
          </w:p>
        </w:tc>
      </w:tr>
    </w:tbl>
    <w:p>
      <w:pPr>
        <w:adjustRightInd w:val="0"/>
        <w:snapToGrid w:val="0"/>
        <w:spacing w:before="156" w:beforeLines="50" w:after="312" w:afterLines="100" w:line="320" w:lineRule="exact"/>
        <w:rPr>
          <w:rFonts w:ascii="宋体" w:hAnsi="宋体" w:cs="宋体"/>
          <w:b/>
          <w:szCs w:val="21"/>
        </w:rPr>
      </w:pPr>
    </w:p>
    <w:p>
      <w:pPr>
        <w:adjustRightInd w:val="0"/>
        <w:snapToGrid w:val="0"/>
        <w:spacing w:before="156" w:beforeLines="50" w:after="312" w:afterLines="100" w:line="320" w:lineRule="exac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表1-2：雁塔校区供水设备设施安全自查报表(4月16日—4月30日)                                            巡查人：王智刚</w:t>
      </w:r>
    </w:p>
    <w:tbl>
      <w:tblPr>
        <w:tblStyle w:val="8"/>
        <w:tblW w:w="153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2"/>
        <w:gridCol w:w="1989"/>
        <w:gridCol w:w="1108"/>
        <w:gridCol w:w="3292"/>
        <w:gridCol w:w="130"/>
        <w:gridCol w:w="1092"/>
        <w:gridCol w:w="1753"/>
        <w:gridCol w:w="933"/>
        <w:gridCol w:w="2423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供水系统名称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设备类型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巡查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日期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参数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运行状况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存在问题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整改措施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大楼北水泵房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管网加压泵（6台）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4.26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恒压罐（1台）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4.26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排风系统（1套）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4.26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污水泵（2台）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4.26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控制柜（1面）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4.26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大楼负一楼加压设备间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1号变频加压泵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4.26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Cs w:val="21"/>
              </w:rPr>
              <w:t>变频温度：27℃；累计功耗：1753KWH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2号变频加压泵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4.26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变频温度：19℃；累计功耗：1306KWH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3号变频加压泵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4.26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变频温度：19℃；累计功耗：47KWH 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恒压罐（1台）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4.26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</w:tcPr>
          <w:tbl>
            <w:tblPr>
              <w:tblStyle w:val="8"/>
              <w:tblW w:w="15593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高压腔压力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超高压腔压力</w:t>
                  </w:r>
                </w:p>
              </w:tc>
            </w:tr>
          </w:tbl>
          <w:p/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4.26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压力:0.49MP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</w:tcPr>
          <w:tbl>
            <w:tblPr>
              <w:tblStyle w:val="8"/>
              <w:tblW w:w="15593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超高压腔压力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exact"/>
                <w:jc w:val="center"/>
              </w:trPr>
              <w:tc>
                <w:tcPr>
                  <w:tcW w:w="1559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超高压腔压力</w:t>
                  </w:r>
                </w:p>
              </w:tc>
            </w:tr>
          </w:tbl>
          <w:p/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4.26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压力:0.50MP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控制柜（1面）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4.26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2686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主要阶段性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保养工作</w:t>
            </w:r>
          </w:p>
        </w:tc>
        <w:tc>
          <w:tcPr>
            <w:tcW w:w="13771" w:type="dxa"/>
            <w:gridSpan w:val="9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其它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需要说明</w:t>
            </w:r>
            <w:r>
              <w:rPr>
                <w:rFonts w:hint="eastAsia" w:ascii="宋体" w:hAnsi="宋体" w:cs="宋体"/>
                <w:b/>
                <w:szCs w:val="21"/>
              </w:rPr>
              <w:t>的问题</w:t>
            </w:r>
          </w:p>
        </w:tc>
        <w:tc>
          <w:tcPr>
            <w:tcW w:w="13771" w:type="dxa"/>
            <w:gridSpan w:val="9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每周定期启动管网加压泵一次。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市政管网压力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0.33Mpa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日均用水量（吨）</w:t>
            </w:r>
          </w:p>
        </w:tc>
        <w:tc>
          <w:tcPr>
            <w:tcW w:w="44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4300   </w:t>
            </w:r>
          </w:p>
        </w:tc>
      </w:tr>
    </w:tbl>
    <w:p>
      <w:pPr>
        <w:rPr>
          <w:rFonts w:ascii="宋体" w:hAnsi="宋体" w:cs="宋体"/>
          <w:b/>
          <w:szCs w:val="21"/>
        </w:rPr>
      </w:pPr>
    </w:p>
    <w:p>
      <w:pPr>
        <w:rPr>
          <w:rFonts w:ascii="宋体" w:hAnsi="宋体" w:cs="宋体"/>
          <w:b/>
          <w:szCs w:val="21"/>
        </w:rPr>
      </w:pPr>
    </w:p>
    <w:p>
      <w:pPr>
        <w:spacing w:after="156" w:afterLines="5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表</w:t>
      </w:r>
      <w:r>
        <w:rPr>
          <w:rFonts w:ascii="宋体" w:hAnsi="宋体" w:cs="宋体"/>
          <w:b/>
          <w:szCs w:val="21"/>
        </w:rPr>
        <w:t>2-</w:t>
      </w:r>
      <w:r>
        <w:rPr>
          <w:rFonts w:hint="eastAsia" w:ascii="宋体" w:hAnsi="宋体" w:cs="宋体"/>
          <w:b/>
          <w:szCs w:val="21"/>
        </w:rPr>
        <w:t>1：雁塔校区配电室设备设施及供电安全自查报表</w:t>
      </w:r>
      <w:r>
        <w:rPr>
          <w:rFonts w:ascii="宋体" w:hAnsi="宋体" w:cs="宋体"/>
          <w:b/>
          <w:szCs w:val="21"/>
        </w:rPr>
        <w:t>(</w:t>
      </w:r>
      <w:r>
        <w:rPr>
          <w:rFonts w:hint="eastAsia" w:ascii="宋体" w:hAnsi="宋体" w:cs="宋体"/>
          <w:b/>
          <w:szCs w:val="21"/>
        </w:rPr>
        <w:t>4月1日</w:t>
      </w:r>
      <w:r>
        <w:rPr>
          <w:rFonts w:ascii="宋体" w:hAnsi="宋体" w:cs="宋体"/>
          <w:b/>
          <w:szCs w:val="21"/>
        </w:rPr>
        <w:t>—</w:t>
      </w:r>
      <w:r>
        <w:rPr>
          <w:rFonts w:hint="eastAsia" w:ascii="宋体" w:hAnsi="宋体" w:cs="宋体"/>
          <w:b/>
          <w:szCs w:val="21"/>
        </w:rPr>
        <w:t>4月15日</w:t>
      </w:r>
      <w:r>
        <w:rPr>
          <w:rFonts w:ascii="宋体" w:hAnsi="宋体" w:cs="宋体"/>
          <w:b/>
          <w:szCs w:val="21"/>
        </w:rPr>
        <w:t xml:space="preserve">)                                         </w:t>
      </w:r>
      <w:r>
        <w:rPr>
          <w:rFonts w:hint="eastAsia" w:ascii="宋体" w:hAnsi="宋体" w:cs="宋体"/>
          <w:b/>
          <w:szCs w:val="21"/>
        </w:rPr>
        <w:t>巡查人：陈利平</w:t>
      </w:r>
    </w:p>
    <w:tbl>
      <w:tblPr>
        <w:tblStyle w:val="8"/>
        <w:tblW w:w="151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921"/>
        <w:gridCol w:w="1064"/>
        <w:gridCol w:w="1063"/>
        <w:gridCol w:w="1064"/>
        <w:gridCol w:w="1064"/>
        <w:gridCol w:w="1064"/>
        <w:gridCol w:w="1064"/>
        <w:gridCol w:w="1064"/>
        <w:gridCol w:w="1064"/>
        <w:gridCol w:w="1063"/>
        <w:gridCol w:w="2128"/>
        <w:gridCol w:w="1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配电室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变压器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额定容量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巡查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变压器温度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(≤80℃)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低压总柜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电压（V）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低压总柜电流（A）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高压柜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运行状态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低压柜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运行状态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存在问题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整改措施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整改结果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学生变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2000KVA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4.3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58℃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大楼西变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大楼东变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南东变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 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附小变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南中变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 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500KVA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南西变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 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南高变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工科楼变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东箱变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研公寓变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630KVA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630KVA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中心变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31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主要阶段性保养工作</w:t>
            </w:r>
          </w:p>
        </w:tc>
        <w:tc>
          <w:tcPr>
            <w:tcW w:w="1199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31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其它问题及整改情况</w:t>
            </w:r>
          </w:p>
        </w:tc>
        <w:tc>
          <w:tcPr>
            <w:tcW w:w="1199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31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主供日均用电量（度）</w:t>
            </w:r>
          </w:p>
        </w:tc>
        <w:tc>
          <w:tcPr>
            <w:tcW w:w="42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63780.4</w:t>
            </w:r>
          </w:p>
        </w:tc>
        <w:tc>
          <w:tcPr>
            <w:tcW w:w="31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备供日均用电量</w:t>
            </w:r>
          </w:p>
        </w:tc>
        <w:tc>
          <w:tcPr>
            <w:tcW w:w="4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</w:tr>
    </w:tbl>
    <w:p>
      <w:pPr>
        <w:spacing w:after="156" w:afterLines="50"/>
        <w:rPr>
          <w:rFonts w:asci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br w:type="page"/>
      </w:r>
      <w:r>
        <w:rPr>
          <w:rFonts w:hint="eastAsia" w:ascii="宋体" w:hAnsi="宋体" w:cs="宋体"/>
          <w:b/>
          <w:szCs w:val="21"/>
        </w:rPr>
        <w:t>表</w:t>
      </w:r>
      <w:r>
        <w:rPr>
          <w:rFonts w:ascii="宋体" w:hAnsi="宋体" w:cs="宋体"/>
          <w:b/>
          <w:szCs w:val="21"/>
        </w:rPr>
        <w:t>2-2</w:t>
      </w:r>
      <w:r>
        <w:rPr>
          <w:rFonts w:hint="eastAsia" w:ascii="宋体" w:hAnsi="宋体" w:cs="宋体"/>
          <w:b/>
          <w:szCs w:val="21"/>
        </w:rPr>
        <w:t>：雁塔校区配电室设备设施及供电安全自查报表</w:t>
      </w:r>
      <w:r>
        <w:rPr>
          <w:rFonts w:ascii="宋体" w:hAnsi="宋体" w:cs="宋体"/>
          <w:b/>
          <w:szCs w:val="21"/>
        </w:rPr>
        <w:t>(</w:t>
      </w:r>
      <w:r>
        <w:rPr>
          <w:rFonts w:hint="eastAsia" w:ascii="宋体" w:hAnsi="宋体" w:cs="宋体"/>
          <w:b/>
          <w:szCs w:val="21"/>
        </w:rPr>
        <w:t>4月</w:t>
      </w:r>
      <w:r>
        <w:rPr>
          <w:rFonts w:ascii="宋体" w:hAnsi="宋体" w:cs="宋体"/>
          <w:b/>
          <w:szCs w:val="21"/>
        </w:rPr>
        <w:t>16</w:t>
      </w:r>
      <w:r>
        <w:rPr>
          <w:rFonts w:hint="eastAsia" w:ascii="宋体" w:hAnsi="宋体" w:cs="宋体"/>
          <w:b/>
          <w:szCs w:val="21"/>
        </w:rPr>
        <w:t>日</w:t>
      </w:r>
      <w:r>
        <w:rPr>
          <w:rFonts w:ascii="宋体" w:hAnsi="宋体" w:cs="宋体"/>
          <w:b/>
          <w:szCs w:val="21"/>
        </w:rPr>
        <w:t>—</w:t>
      </w:r>
      <w:r>
        <w:rPr>
          <w:rFonts w:hint="eastAsia" w:ascii="宋体" w:hAnsi="宋体" w:cs="宋体"/>
          <w:b/>
          <w:szCs w:val="21"/>
        </w:rPr>
        <w:t>4月</w:t>
      </w:r>
      <w:r>
        <w:rPr>
          <w:rFonts w:ascii="宋体" w:hAnsi="宋体" w:cs="宋体"/>
          <w:b/>
          <w:szCs w:val="21"/>
        </w:rPr>
        <w:t>3</w:t>
      </w:r>
      <w:r>
        <w:rPr>
          <w:rFonts w:hint="eastAsia" w:ascii="宋体" w:hAnsi="宋体" w:cs="宋体"/>
          <w:b/>
          <w:szCs w:val="21"/>
        </w:rPr>
        <w:t>0日</w:t>
      </w:r>
      <w:r>
        <w:rPr>
          <w:rFonts w:ascii="宋体" w:hAnsi="宋体" w:cs="宋体"/>
          <w:b/>
          <w:szCs w:val="21"/>
        </w:rPr>
        <w:t xml:space="preserve">)                                         </w:t>
      </w:r>
      <w:r>
        <w:rPr>
          <w:rFonts w:hint="eastAsia" w:ascii="宋体" w:hAnsi="宋体" w:cs="宋体"/>
          <w:b/>
          <w:szCs w:val="21"/>
        </w:rPr>
        <w:t>巡查人：陈利平</w:t>
      </w:r>
    </w:p>
    <w:tbl>
      <w:tblPr>
        <w:tblStyle w:val="8"/>
        <w:tblW w:w="150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1063"/>
        <w:gridCol w:w="1064"/>
        <w:gridCol w:w="1064"/>
        <w:gridCol w:w="1064"/>
        <w:gridCol w:w="1064"/>
        <w:gridCol w:w="1064"/>
        <w:gridCol w:w="1064"/>
        <w:gridCol w:w="1063"/>
        <w:gridCol w:w="2128"/>
        <w:gridCol w:w="11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配电室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变压器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额定容量</w:t>
            </w:r>
          </w:p>
        </w:tc>
        <w:tc>
          <w:tcPr>
            <w:tcW w:w="106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巡查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变压器温度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低压总柜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电压（V）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低压总柜电流（A）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高压柜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运行状态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低压柜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运行状态</w:t>
            </w:r>
          </w:p>
        </w:tc>
        <w:tc>
          <w:tcPr>
            <w:tcW w:w="21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存在问题</w:t>
            </w:r>
          </w:p>
        </w:tc>
        <w:tc>
          <w:tcPr>
            <w:tcW w:w="21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整改措施</w:t>
            </w:r>
          </w:p>
        </w:tc>
        <w:tc>
          <w:tcPr>
            <w:tcW w:w="11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整改结果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(≤80℃)</w:t>
            </w:r>
          </w:p>
        </w:tc>
        <w:tc>
          <w:tcPr>
            <w:tcW w:w="106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学生变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大楼西变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大楼东变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南东变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 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附小变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南中变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 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500KVA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南西变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 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南高变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工科楼变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东箱变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1250KVA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研公寓变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630KVA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630KVA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中心变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2号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1000KVA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正常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31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主要阶段性保养工作</w:t>
            </w:r>
          </w:p>
        </w:tc>
        <w:tc>
          <w:tcPr>
            <w:tcW w:w="1182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完成供电设备安全检测及风险评估。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31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其它问题及整改情况</w:t>
            </w:r>
          </w:p>
        </w:tc>
        <w:tc>
          <w:tcPr>
            <w:tcW w:w="1182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南中配电室校医院X光室回路跳闸，进行故障排查后恢复供电。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1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主供日均用电量（度）</w:t>
            </w:r>
          </w:p>
        </w:tc>
        <w:tc>
          <w:tcPr>
            <w:tcW w:w="42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63780.4</w:t>
            </w:r>
          </w:p>
        </w:tc>
        <w:tc>
          <w:tcPr>
            <w:tcW w:w="31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备供日均用电量</w:t>
            </w:r>
          </w:p>
        </w:tc>
        <w:tc>
          <w:tcPr>
            <w:tcW w:w="43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—</w:t>
            </w:r>
          </w:p>
        </w:tc>
      </w:tr>
    </w:tbl>
    <w:p>
      <w:pPr>
        <w:spacing w:after="156" w:afterLines="50" w:line="240" w:lineRule="atLeast"/>
        <w:rPr>
          <w:rFonts w:ascii="宋体" w:hAnsi="宋体" w:cs="宋体"/>
          <w:b/>
          <w:szCs w:val="21"/>
        </w:rPr>
      </w:pPr>
    </w:p>
    <w:p>
      <w:pPr>
        <w:spacing w:after="156" w:afterLines="5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br w:type="page"/>
      </w:r>
      <w:r>
        <w:rPr>
          <w:rFonts w:hint="eastAsia" w:ascii="宋体" w:hAnsi="宋体" w:cs="宋体"/>
          <w:b/>
          <w:szCs w:val="21"/>
        </w:rPr>
        <w:t>表3-1：雁塔校区供暖设备设施安全自查报表(4月1日—4月30日)                                                 巡查人：詹雁生</w:t>
      </w:r>
    </w:p>
    <w:tbl>
      <w:tblPr>
        <w:tblStyle w:val="8"/>
        <w:tblW w:w="15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58"/>
        <w:gridCol w:w="1042"/>
        <w:gridCol w:w="458"/>
        <w:gridCol w:w="700"/>
        <w:gridCol w:w="1042"/>
        <w:gridCol w:w="1229"/>
        <w:gridCol w:w="1271"/>
        <w:gridCol w:w="1558"/>
        <w:gridCol w:w="1157"/>
        <w:gridCol w:w="228"/>
        <w:gridCol w:w="757"/>
        <w:gridCol w:w="915"/>
        <w:gridCol w:w="938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1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检查项目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检查内容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检查标准</w:t>
            </w:r>
          </w:p>
        </w:tc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检查周期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巡查人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存在问题</w:t>
            </w:r>
          </w:p>
        </w:tc>
        <w:tc>
          <w:tcPr>
            <w:tcW w:w="15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整改措施及结果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换热设备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板式换热器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无水击声，密封面无漏水现象。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补水稳压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设备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补水泵</w:t>
            </w:r>
          </w:p>
        </w:tc>
        <w:tc>
          <w:tcPr>
            <w:tcW w:w="5800" w:type="dxa"/>
            <w:gridSpan w:val="5"/>
            <w:vMerge w:val="restart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电动机与轴承的温升、震动与噪音是否超限；  电机接线盒有无发热现象；联轴节填料松紧状况。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  <w:vMerge w:val="restart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循环泵</w:t>
            </w:r>
          </w:p>
        </w:tc>
        <w:tc>
          <w:tcPr>
            <w:tcW w:w="5800" w:type="dxa"/>
            <w:gridSpan w:val="5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  <w:vMerge w:val="continue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6" w:type="dxa"/>
            <w:vMerge w:val="continue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阀门类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闸阀、截止阀、球阀、安全阀等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开启位置是否正常，有无漏水现象。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除污设备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除污器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两侧压力表压差是否大于0.02Mpa；压差大于0.02Mpa说明除污器被堵。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水处理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设备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软化水器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运行是否正常。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left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溶盐罐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是否需要加盐。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水箱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水位是否正常。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仪表类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温度表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一、二次网仪表所示温度正常，指示信号无异常变化。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压力表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一、二次网仪表所示压力正常，指示信号无异常变化。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自控设备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控制柜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微机自控变频稳压系统运行正常，无异常声音；指示灯显示正常。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配电设备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配电柜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运行正常，无异常气味。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供热管网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管沟、管道、阀门、补偿器</w:t>
            </w:r>
          </w:p>
        </w:tc>
        <w:tc>
          <w:tcPr>
            <w:tcW w:w="5800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管网介质无泄漏；补偿器运行状态正常；阀门无渗漏。</w:t>
            </w:r>
          </w:p>
        </w:tc>
        <w:tc>
          <w:tcPr>
            <w:tcW w:w="1157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每班一次</w:t>
            </w:r>
          </w:p>
        </w:tc>
        <w:tc>
          <w:tcPr>
            <w:tcW w:w="985" w:type="dxa"/>
            <w:gridSpan w:val="2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詹雁生</w:t>
            </w:r>
          </w:p>
        </w:tc>
        <w:tc>
          <w:tcPr>
            <w:tcW w:w="1853" w:type="dxa"/>
            <w:gridSpan w:val="2"/>
          </w:tcPr>
          <w:p>
            <w:pPr>
              <w:jc w:val="center"/>
            </w:pPr>
          </w:p>
        </w:tc>
        <w:tc>
          <w:tcPr>
            <w:tcW w:w="1556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38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主要阶段性保养工作</w:t>
            </w:r>
          </w:p>
        </w:tc>
        <w:tc>
          <w:tcPr>
            <w:tcW w:w="11351" w:type="dxa"/>
            <w:gridSpan w:val="11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已过采暖季设备停运。保持换热站内环境卫生清洁，进行南换热站设备加油保养。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38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其它问题及整改情况</w:t>
            </w:r>
          </w:p>
        </w:tc>
        <w:tc>
          <w:tcPr>
            <w:tcW w:w="11351" w:type="dxa"/>
            <w:gridSpan w:val="11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1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供热运行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参数</w:t>
            </w:r>
          </w:p>
        </w:tc>
        <w:tc>
          <w:tcPr>
            <w:tcW w:w="5629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一次网</w:t>
            </w:r>
          </w:p>
        </w:tc>
        <w:tc>
          <w:tcPr>
            <w:tcW w:w="588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二次网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补水系统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35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进水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出水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供水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回水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补水量(m³/h)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195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流量(m³/h)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温度(℃)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压力(Mpa)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温度(℃)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压力(Mpa)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温度(℃)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压力(Mpa)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温度(℃)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压力(Mpa)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195" w:type="dxa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北换热站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195" w:type="dxa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南换热站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</w:tbl>
    <w:p>
      <w:pPr>
        <w:spacing w:after="156" w:afterLines="50" w:line="240" w:lineRule="atLeast"/>
        <w:rPr>
          <w:rFonts w:ascii="宋体" w:hAnsi="宋体" w:cs="宋体"/>
          <w:b/>
          <w:szCs w:val="21"/>
        </w:rPr>
      </w:pPr>
    </w:p>
    <w:p>
      <w:pPr>
        <w:widowControl/>
        <w:jc w:val="left"/>
        <w:textAlignment w:val="center"/>
        <w:rPr>
          <w:rStyle w:val="10"/>
          <w:rFonts w:ascii="宋体" w:hAnsi="宋体" w:cs="宋体"/>
          <w:sz w:val="21"/>
          <w:szCs w:val="21"/>
        </w:rPr>
      </w:pPr>
      <w:r>
        <w:rPr>
          <w:rStyle w:val="10"/>
          <w:rFonts w:hint="eastAsia" w:ascii="宋体" w:hAnsi="宋体" w:cs="宋体"/>
          <w:sz w:val="21"/>
          <w:szCs w:val="21"/>
        </w:rPr>
        <w:t>表</w:t>
      </w:r>
      <w:r>
        <w:rPr>
          <w:rStyle w:val="10"/>
          <w:rFonts w:ascii="宋体" w:hAnsi="宋体" w:cs="宋体"/>
          <w:sz w:val="21"/>
          <w:szCs w:val="21"/>
        </w:rPr>
        <w:t>4-1</w:t>
      </w:r>
      <w:r>
        <w:rPr>
          <w:rStyle w:val="10"/>
          <w:rFonts w:hint="eastAsia" w:ascii="宋体" w:hAnsi="宋体" w:cs="宋体"/>
          <w:sz w:val="21"/>
          <w:szCs w:val="21"/>
        </w:rPr>
        <w:t>：雁塔校区电梯设备安全检查报表</w:t>
      </w:r>
      <w:r>
        <w:rPr>
          <w:rStyle w:val="10"/>
          <w:rFonts w:ascii="宋体" w:hAnsi="宋体" w:cs="宋体"/>
          <w:sz w:val="21"/>
          <w:szCs w:val="21"/>
        </w:rPr>
        <w:t>(</w:t>
      </w:r>
      <w:r>
        <w:rPr>
          <w:rStyle w:val="10"/>
          <w:rFonts w:hint="eastAsia" w:ascii="宋体" w:hAnsi="宋体" w:cs="宋体"/>
          <w:sz w:val="21"/>
          <w:szCs w:val="21"/>
        </w:rPr>
        <w:t>4月</w:t>
      </w:r>
      <w:r>
        <w:rPr>
          <w:rStyle w:val="10"/>
          <w:rFonts w:ascii="宋体" w:hAnsi="宋体" w:cs="宋体"/>
          <w:sz w:val="21"/>
          <w:szCs w:val="21"/>
        </w:rPr>
        <w:t>1</w:t>
      </w:r>
      <w:r>
        <w:rPr>
          <w:rStyle w:val="10"/>
          <w:rFonts w:hint="eastAsia" w:ascii="宋体" w:hAnsi="宋体" w:cs="宋体"/>
          <w:sz w:val="21"/>
          <w:szCs w:val="21"/>
        </w:rPr>
        <w:t>日</w:t>
      </w:r>
      <w:r>
        <w:rPr>
          <w:rStyle w:val="10"/>
          <w:rFonts w:ascii="宋体" w:hAnsi="宋体" w:cs="宋体"/>
          <w:sz w:val="21"/>
          <w:szCs w:val="21"/>
        </w:rPr>
        <w:t>—</w:t>
      </w:r>
      <w:r>
        <w:rPr>
          <w:rStyle w:val="10"/>
          <w:rFonts w:hint="eastAsia" w:ascii="宋体" w:hAnsi="宋体" w:cs="宋体"/>
          <w:sz w:val="21"/>
          <w:szCs w:val="21"/>
        </w:rPr>
        <w:t>4月</w:t>
      </w:r>
      <w:r>
        <w:rPr>
          <w:rStyle w:val="10"/>
          <w:rFonts w:ascii="宋体" w:hAnsi="宋体" w:cs="宋体"/>
          <w:sz w:val="21"/>
          <w:szCs w:val="21"/>
        </w:rPr>
        <w:t>15</w:t>
      </w:r>
      <w:r>
        <w:rPr>
          <w:rStyle w:val="10"/>
          <w:rFonts w:hint="eastAsia" w:ascii="宋体" w:hAnsi="宋体" w:cs="宋体"/>
          <w:sz w:val="21"/>
          <w:szCs w:val="21"/>
        </w:rPr>
        <w:t>日</w:t>
      </w:r>
      <w:r>
        <w:rPr>
          <w:rStyle w:val="10"/>
          <w:rFonts w:ascii="宋体" w:hAnsi="宋体" w:cs="宋体"/>
          <w:sz w:val="21"/>
          <w:szCs w:val="21"/>
        </w:rPr>
        <w:t xml:space="preserve">) </w:t>
      </w:r>
      <w:r>
        <w:rPr>
          <w:rFonts w:ascii="宋体" w:hAnsi="宋体" w:cs="宋体"/>
          <w:b/>
          <w:szCs w:val="21"/>
        </w:rPr>
        <w:t xml:space="preserve">                                                                          </w:t>
      </w:r>
      <w:r>
        <w:rPr>
          <w:rFonts w:hint="eastAsia" w:ascii="宋体" w:hAnsi="宋体" w:cs="宋体"/>
          <w:b/>
          <w:szCs w:val="21"/>
        </w:rPr>
        <w:t>巡查人：杨学军</w:t>
      </w:r>
    </w:p>
    <w:tbl>
      <w:tblPr>
        <w:tblStyle w:val="8"/>
        <w:tblpPr w:leftFromText="180" w:rightFromText="180" w:vertAnchor="text" w:horzAnchor="page" w:tblpXSpec="center" w:tblpY="182"/>
        <w:tblOverlap w:val="never"/>
        <w:tblW w:w="152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4" w:space="0"/>
          <w:insideV w:val="non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2"/>
        <w:gridCol w:w="1361"/>
        <w:gridCol w:w="5378"/>
        <w:gridCol w:w="1314"/>
        <w:gridCol w:w="1657"/>
        <w:gridCol w:w="3557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检查内容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检查标准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检查周期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运行情况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维保问题及整改措施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整改结果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机房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机房环境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℃之间，通风正常。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3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相关标识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入口“机房重地、闲人免进”标识。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每学期一次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内墙操作规程、紧急救援程序、人员职责等制度。</w:t>
            </w:r>
          </w:p>
        </w:tc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警示标识，平层标记及其他标记。</w:t>
            </w:r>
          </w:p>
        </w:tc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附属设施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照明正常，灭火器，空调，门窗完好。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每学期一次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核心部件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曳引机、控制柜、限速器等运行正常。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轿厢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轿厢环境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地面整洁，照明、风扇运转正常。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cs="宋体"/>
                <w:bCs/>
                <w:color w:val="000000"/>
                <w:szCs w:val="21"/>
              </w:rPr>
              <w:t>正常</w:t>
            </w:r>
          </w:p>
        </w:tc>
        <w:tc>
          <w:tcPr>
            <w:tcW w:w="3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4月15日环工楼轿厢更换门锁，电梯正常运行。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相关标识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检查轿厢合格证在有效期、乘梯须知完整。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应急照明正常。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报警装置、对讲系统呼出呼入正常。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轿厅门装置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安全触板，光幕，光电正常。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轿内显示、按钮正常。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检查层站召唤，楼层显示齐全，正常有效。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8" w:firstLineChars="104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轿厅门开启无阻碍。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FF0000"/>
                <w:szCs w:val="21"/>
              </w:rPr>
            </w:pPr>
            <w:r>
              <w:rPr>
                <w:rFonts w:hint="eastAsia" w:ascii="宋体" w:cs="宋体"/>
                <w:bCs/>
                <w:color w:val="FF0000"/>
                <w:szCs w:val="21"/>
              </w:rPr>
              <w:t>异常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层门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8" w:firstLineChars="104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平层精度在±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15mm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8" w:firstLineChars="104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层门地砍（清洁）。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主要阶段性保养工作及其它问题整改情况</w:t>
            </w:r>
          </w:p>
        </w:tc>
        <w:tc>
          <w:tcPr>
            <w:tcW w:w="13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、4月9日 青教公寓1号楼电梯地坑更换涨紧轮开关，电梯正常运行。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、4月11日更换宾馆电梯接触器，电梯正常运行。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3、4月17日8号楼轿厢线路老化需要更换。</w:t>
            </w:r>
          </w:p>
        </w:tc>
      </w:tr>
    </w:tbl>
    <w:p>
      <w:pPr>
        <w:widowControl/>
        <w:jc w:val="left"/>
        <w:textAlignment w:val="center"/>
        <w:rPr>
          <w:rStyle w:val="10"/>
          <w:rFonts w:ascii="宋体" w:hAnsi="宋体" w:cs="宋体"/>
          <w:sz w:val="21"/>
          <w:szCs w:val="21"/>
        </w:rPr>
      </w:pPr>
      <w:r>
        <w:rPr>
          <w:rStyle w:val="10"/>
          <w:rFonts w:hint="eastAsia" w:ascii="宋体" w:hAnsi="宋体" w:cs="宋体"/>
          <w:sz w:val="21"/>
          <w:szCs w:val="21"/>
        </w:rPr>
        <w:t>表</w:t>
      </w:r>
      <w:r>
        <w:rPr>
          <w:rStyle w:val="10"/>
          <w:rFonts w:ascii="宋体" w:hAnsi="宋体" w:cs="宋体"/>
          <w:sz w:val="21"/>
          <w:szCs w:val="21"/>
        </w:rPr>
        <w:t>4-2</w:t>
      </w:r>
      <w:r>
        <w:rPr>
          <w:rStyle w:val="10"/>
          <w:rFonts w:hint="eastAsia" w:ascii="宋体" w:hAnsi="宋体" w:cs="宋体"/>
          <w:sz w:val="21"/>
          <w:szCs w:val="21"/>
        </w:rPr>
        <w:t>：雁塔校区电梯设备安全检查报表</w:t>
      </w:r>
      <w:r>
        <w:rPr>
          <w:rStyle w:val="10"/>
          <w:rFonts w:ascii="宋体" w:hAnsi="宋体" w:cs="宋体"/>
          <w:sz w:val="21"/>
          <w:szCs w:val="21"/>
        </w:rPr>
        <w:t>(</w:t>
      </w:r>
      <w:r>
        <w:rPr>
          <w:rStyle w:val="10"/>
          <w:rFonts w:hint="eastAsia" w:ascii="宋体" w:hAnsi="宋体" w:cs="宋体"/>
          <w:sz w:val="21"/>
          <w:szCs w:val="21"/>
        </w:rPr>
        <w:t>4月</w:t>
      </w:r>
      <w:r>
        <w:rPr>
          <w:rStyle w:val="10"/>
          <w:rFonts w:ascii="宋体" w:hAnsi="宋体" w:cs="宋体"/>
          <w:sz w:val="21"/>
          <w:szCs w:val="21"/>
        </w:rPr>
        <w:t>16</w:t>
      </w:r>
      <w:r>
        <w:rPr>
          <w:rStyle w:val="10"/>
          <w:rFonts w:hint="eastAsia" w:ascii="宋体" w:hAnsi="宋体" w:cs="宋体"/>
          <w:sz w:val="21"/>
          <w:szCs w:val="21"/>
        </w:rPr>
        <w:t>日</w:t>
      </w:r>
      <w:r>
        <w:rPr>
          <w:rStyle w:val="10"/>
          <w:rFonts w:ascii="宋体" w:hAnsi="宋体" w:cs="宋体"/>
          <w:sz w:val="21"/>
          <w:szCs w:val="21"/>
        </w:rPr>
        <w:t>—</w:t>
      </w:r>
      <w:r>
        <w:rPr>
          <w:rStyle w:val="10"/>
          <w:rFonts w:hint="eastAsia" w:ascii="宋体" w:hAnsi="宋体" w:cs="宋体"/>
          <w:sz w:val="21"/>
          <w:szCs w:val="21"/>
        </w:rPr>
        <w:t>4月30日</w:t>
      </w:r>
      <w:r>
        <w:rPr>
          <w:rFonts w:ascii="宋体" w:hAnsi="宋体" w:cs="宋体"/>
          <w:b/>
          <w:szCs w:val="21"/>
        </w:rPr>
        <w:t xml:space="preserve">)                                                                           </w:t>
      </w:r>
      <w:r>
        <w:rPr>
          <w:rFonts w:hint="eastAsia" w:ascii="宋体" w:hAnsi="宋体" w:cs="宋体"/>
          <w:b/>
          <w:szCs w:val="21"/>
        </w:rPr>
        <w:t>巡查人：杨学军</w:t>
      </w:r>
    </w:p>
    <w:tbl>
      <w:tblPr>
        <w:tblStyle w:val="8"/>
        <w:tblpPr w:leftFromText="180" w:rightFromText="180" w:vertAnchor="text" w:horzAnchor="page" w:tblpXSpec="center" w:tblpY="182"/>
        <w:tblOverlap w:val="never"/>
        <w:tblW w:w="153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4" w:space="0"/>
          <w:insideV w:val="non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9"/>
        <w:gridCol w:w="1361"/>
        <w:gridCol w:w="5378"/>
        <w:gridCol w:w="1314"/>
        <w:gridCol w:w="1657"/>
        <w:gridCol w:w="3557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检查内容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检查标准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检查周期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运行情况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维保问题及整改措施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整改结果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机房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机房环境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温度为5～40℃之间，通风正常。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100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相关标识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入口“机房重地、闲人免进”标识。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每学期一次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内墙操作规程、紧急救援程序、人员职责等制度。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警示标识，平层标记及其他标记。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附属设施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照明正常，灭火器，空调，门窗完好。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每学期一次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核心部件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曳引机、控制柜、限速器等运行正常。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轿厢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轿厢环境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地面整洁，照明、风扇运转正常。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1、4月30日46号楼北梯光幕故障，正在观察。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2、4月23日8号楼更换20层下行按钮，电梯正常运行。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3、4月25日更换研究生公寓8层外招按钮.电梯正常运行。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4、4月24日逸夫楼北梯更换3层门轮.电梯正常运行。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相关标识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检查轿厢合格证在有效期、乘梯须知完整。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应急照明正常。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报警装置、对讲系统呼出呼入正常。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两周一次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轿厅门装置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安全触板，光幕，光电正常。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异常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正在整改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轿内显示、按钮正常。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异常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7" w:rightChars="46" w:firstLine="218" w:firstLineChars="104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检查层站召唤，楼层显示齐全，正常有效。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8" w:firstLineChars="104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轿厅门开启无阻碍。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异常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层门</w:t>
            </w: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8" w:firstLineChars="104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平层精度在±15mm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每日检查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8" w:firstLineChars="104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层门地砍（清洁）。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正常</w:t>
            </w:r>
          </w:p>
        </w:tc>
        <w:tc>
          <w:tcPr>
            <w:tcW w:w="3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4" w:hRule="atLeast"/>
          <w:jc w:val="center"/>
        </w:trPr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主要阶段性保养工作及其它问题整改情况</w:t>
            </w:r>
          </w:p>
        </w:tc>
        <w:tc>
          <w:tcPr>
            <w:tcW w:w="1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4月30日8号楼北梯更换包扎开关和继电器，电梯正常运行。</w:t>
            </w:r>
          </w:p>
        </w:tc>
      </w:tr>
    </w:tbl>
    <w:p>
      <w:pPr>
        <w:adjustRightInd w:val="0"/>
        <w:snapToGrid w:val="0"/>
        <w:spacing w:line="320" w:lineRule="exac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表5-1：雁塔校区饮食卫生监督检查报表(4月1日—4月15日)                                                            巡查人：李金丽</w:t>
      </w:r>
    </w:p>
    <w:tbl>
      <w:tblPr>
        <w:tblStyle w:val="8"/>
        <w:tblpPr w:leftFromText="180" w:rightFromText="180" w:vertAnchor="text" w:horzAnchor="page" w:tblpXSpec="center" w:tblpY="306"/>
        <w:tblOverlap w:val="never"/>
        <w:tblW w:w="15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2483"/>
        <w:gridCol w:w="2507"/>
        <w:gridCol w:w="1615"/>
        <w:gridCol w:w="1528"/>
        <w:gridCol w:w="2243"/>
        <w:gridCol w:w="2239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检查内容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运行状况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检查周期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存在问题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整改措施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制度</w:t>
            </w: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《食品安全管理制度》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亲仁阁检查记录表记录不及时。</w:t>
            </w:r>
          </w:p>
        </w:tc>
        <w:tc>
          <w:tcPr>
            <w:tcW w:w="2239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要求相关负责人加强管理，及时记录。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《库房管理制度》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《大宗物资集中采购办法》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《应急预案》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食品安全检查记录是否及时、真实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异常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食品卫生 </w:t>
            </w: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设专人负责食品卫生自查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239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蔬菜、副食、调料等采购渠道正规、证件齐全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不定期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存放超过2小时的食品食用前充分加热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按规定留样并做留样记录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原料存放加工   </w:t>
            </w: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分类摆放，避免交叉污染且生熟原料分开加工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异常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面包房冰箱内物品摆放杂乱。</w:t>
            </w:r>
          </w:p>
        </w:tc>
        <w:tc>
          <w:tcPr>
            <w:tcW w:w="2239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要求相关负责人加强管理。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正在整改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存放记录规范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储藏间整洁卫生，原料不直接接触地面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原料清洗彻底，无虫卵、泥沙等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人员及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环境卫生 </w:t>
            </w: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工作人员每年体检一次，持有健康证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239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防鼠、防蟑、防蝇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操作间、售饭间、就餐大厅等区域干净、卫生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节能及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安全管理</w:t>
            </w: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长流水现象及用水安全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异常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亲仁阁存在长流水现象.</w:t>
            </w:r>
          </w:p>
        </w:tc>
        <w:tc>
          <w:tcPr>
            <w:tcW w:w="2239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下发《整改通知单》。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长明灯现象及用电安全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天然气安全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4064" w:type="dxa"/>
            <w:gridSpan w:val="2"/>
            <w:vAlign w:val="center"/>
          </w:tcPr>
          <w:p>
            <w:pPr>
              <w:tabs>
                <w:tab w:val="left" w:pos="4911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其他问题及整改情况</w:t>
            </w:r>
          </w:p>
        </w:tc>
        <w:tc>
          <w:tcPr>
            <w:tcW w:w="1126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表5-2：雁塔校区饮食卫生监督检查报表(4月1</w:t>
      </w:r>
      <w:r>
        <w:rPr>
          <w:rFonts w:hint="eastAsia" w:ascii="宋体" w:hAnsi="宋体" w:cs="宋体"/>
          <w:b/>
          <w:szCs w:val="21"/>
          <w:lang w:val="en-US" w:eastAsia="zh-CN"/>
        </w:rPr>
        <w:t>6</w:t>
      </w:r>
      <w:r>
        <w:rPr>
          <w:rFonts w:hint="eastAsia" w:ascii="宋体" w:hAnsi="宋体" w:cs="宋体"/>
          <w:b/>
          <w:szCs w:val="21"/>
        </w:rPr>
        <w:t>日—4月30日)                                                            巡查人：李金丽</w:t>
      </w:r>
    </w:p>
    <w:tbl>
      <w:tblPr>
        <w:tblStyle w:val="8"/>
        <w:tblpPr w:leftFromText="180" w:rightFromText="180" w:vertAnchor="text" w:horzAnchor="page" w:tblpX="906" w:tblpY="306"/>
        <w:tblOverlap w:val="never"/>
        <w:tblW w:w="15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824"/>
        <w:gridCol w:w="1938"/>
        <w:gridCol w:w="1615"/>
        <w:gridCol w:w="1528"/>
        <w:gridCol w:w="2243"/>
        <w:gridCol w:w="2429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检查内容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运行状况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检查周期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存在问题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整改措施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制度</w:t>
            </w: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《食品安全管理制度》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《库房管理制度》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《大宗物资集中采购办法》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《应急预案》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食品安全检查记录是否及时、真实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食品卫生 </w:t>
            </w: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设专人负责食品卫生自查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蔬菜、副食、调料等采购渠道正规、证件齐全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不定期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存放超过2小时的食品食用前充分加热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按规定留样并做留样记录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原料存放加工   </w:t>
            </w: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分类摆放，避免交叉污染且生熟原料分开加工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异常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面包房冰箱内物品摆放杂乱。</w:t>
            </w:r>
          </w:p>
        </w:tc>
        <w:tc>
          <w:tcPr>
            <w:tcW w:w="2429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告知饮食中心主任，要求立即整改。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存放记录规范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储藏间整洁卫生，原料不直接接触地面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原料清洗彻底，无虫卵、泥沙等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人员及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环境卫生 </w:t>
            </w: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工作人员每年体检一次，持有健康证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429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防鼠、防蟑、防蝇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操作间、售饭间、就餐大厅等区域干净、卫生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节能及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安全管理</w:t>
            </w: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长流水现象及用水安全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Cs w:val="21"/>
              </w:rPr>
              <w:t>异常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亲仁阁拖把池水龙头拧不紧，存在滴漏现象。</w:t>
            </w:r>
          </w:p>
        </w:tc>
        <w:tc>
          <w:tcPr>
            <w:tcW w:w="2429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要求相关负责人立即维修。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正在整改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长明灯现象及用电安全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6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天然气安全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43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其他问题及整改情况</w:t>
            </w:r>
          </w:p>
        </w:tc>
        <w:tc>
          <w:tcPr>
            <w:tcW w:w="1085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表6-1：雁塔校区垃圾压缩站设备设施安全自查报表(4月1日—4月30日)                                           巡查人：宋家辉</w:t>
      </w:r>
    </w:p>
    <w:tbl>
      <w:tblPr>
        <w:tblStyle w:val="8"/>
        <w:tblpPr w:leftFromText="180" w:rightFromText="180" w:vertAnchor="text" w:horzAnchor="page" w:tblpXSpec="center" w:tblpY="306"/>
        <w:tblOverlap w:val="never"/>
        <w:tblW w:w="15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2304"/>
        <w:gridCol w:w="2496"/>
        <w:gridCol w:w="1903"/>
        <w:gridCol w:w="1528"/>
        <w:gridCol w:w="2243"/>
        <w:gridCol w:w="2189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检查内容</w:t>
            </w:r>
          </w:p>
        </w:tc>
        <w:tc>
          <w:tcPr>
            <w:tcW w:w="1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运行状况</w:t>
            </w: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检查周期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存在问题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整改措施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制度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规章制度是否健全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每学期一次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18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工作记录是否及时、真实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人员卫生 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工作人员每年体检一次，持有健康证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每年一次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室内卫生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操作间卫生、消毒情况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18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车辆卫生、消毒情况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设备卫生、消毒情况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设备维护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与保养   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液压站油箱油液面高度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每周两次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218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油缸是否漏油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液压油箱内的吸油和回油滤清器是否堵塞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检查液压系统泄漏情况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缸销轴、滑轮轴、卸料门销轴加注润滑油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每10天一次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挤压板滑道应定期涂抹润滑油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定期检查联结件的紧固情况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定期进行车辆维保</w:t>
            </w:r>
          </w:p>
        </w:tc>
        <w:tc>
          <w:tcPr>
            <w:tcW w:w="19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定期</w:t>
            </w:r>
          </w:p>
        </w:tc>
        <w:tc>
          <w:tcPr>
            <w:tcW w:w="224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37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其他问题及整改情况</w:t>
            </w:r>
          </w:p>
        </w:tc>
        <w:tc>
          <w:tcPr>
            <w:tcW w:w="1147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after="156" w:afterLines="50" w:line="400" w:lineRule="exact"/>
        <w:rPr>
          <w:rFonts w:ascii="宋体" w:hAnsi="宋体"/>
          <w:b/>
        </w:rPr>
      </w:pPr>
    </w:p>
    <w:p>
      <w:pPr>
        <w:spacing w:after="156" w:afterLines="50" w:line="400" w:lineRule="exact"/>
        <w:ind w:firstLine="211" w:firstLineChars="100"/>
        <w:rPr>
          <w:rFonts w:ascii="宋体" w:hAnsi="宋体"/>
          <w:b/>
        </w:rPr>
      </w:pPr>
      <w:r>
        <w:rPr>
          <w:rFonts w:hint="eastAsia" w:ascii="宋体" w:hAnsi="宋体"/>
          <w:b/>
        </w:rPr>
        <w:t>表7-1：雁塔校区修缮工程施工现场安全检查日查月报表 （4月1日—4月15日）                             巡查人：王攀、李明亮</w:t>
      </w:r>
    </w:p>
    <w:tbl>
      <w:tblPr>
        <w:tblStyle w:val="8"/>
        <w:tblW w:w="151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091"/>
        <w:gridCol w:w="5741"/>
        <w:gridCol w:w="1104"/>
        <w:gridCol w:w="1118"/>
        <w:gridCol w:w="1997"/>
        <w:gridCol w:w="2140"/>
        <w:gridCol w:w="1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9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项目施工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完成进度</w:t>
            </w:r>
          </w:p>
        </w:tc>
        <w:tc>
          <w:tcPr>
            <w:tcW w:w="13335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1、13#号住宅楼加建电梯土建施工项目，完成95%；</w:t>
            </w:r>
          </w:p>
          <w:p>
            <w:pPr>
              <w:spacing w:line="3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2、 国际教育学院（原招待所）装修项目，施工进度65%。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0" w:type="dxa"/>
            <w:gridSpan w:val="2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检查项目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检查内容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执行状况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检查周期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存在问题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整改措施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整改结果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安全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管理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安全警示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工程概况牌、安全生产牌、消防保卫牌、环境保护牌、文明施工牌、施工现场总平面图，根据工程内容入场前张贴。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入场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根据需求张贴禁止、警告、指令、提示等四类标志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入场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牌、标志安装位置是否合理，安全标志的维护与管理及时。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安全防护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“三宝”：</w:t>
            </w:r>
            <w:r>
              <w:fldChar w:fldCharType="begin"/>
            </w:r>
            <w:r>
              <w:instrText xml:space="preserve"> HYPERLINK "https://www.baidu.com/s?wd=%E5%AE%89%E5%85%A8%E5%B8%BD&amp;tn=44039180_cpr&amp;fenlei=mv6quAkxTZn0IZRqIHckPjm4nH00T1dbmWTvuAPhrH7bmWPWPWTk0ZwV5Hcvrjm3rH6sPfKWUMw85HfYnjn4nH6sgvPsT6KdThsqpZwYTjCEQLGCpyw9Uz4Bmy-bIi4WUvYETgN-TLwGUv3EPjTkPjRvPWfv"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安全帽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、安全带、安全网佩戴情况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项目1楼梯钢架口未加装安全防护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要求进行整改，搭设安全防护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“四口”：预留洞口、电梯井口、通道口、楼梯口做好防护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异常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20" w:lineRule="atLeas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“五临边”：楼面临边、屋面临边、阳台临边、升降口临边、基坑临边做好安全防护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安全施工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健全、落实安全责任制，签订《施工安全责任书》。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入场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做好“三级安全教育”，做到“上岗交底、上岗检查”。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配备专(兼)职安全员，特殊工种持从业资格证。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9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机具管理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机械、工具合格，操作人员持证上岗，停放、摆放得当。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文明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施工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施工围挡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校区一般路段的工地周围设置高于1.8m的封闭围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入场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围挡材料坚固、稳定、整洁、美观，要沿工地四周连续设置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入场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施工区域、危险部位、设施按规定悬挂安全标志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入场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施工场地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现场道路畅通、路面平整、坚实、整洁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项目1室外垃圾堆积凌乱，项目2用电线路不规整。</w:t>
            </w: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要求垃圾集中堆放；室内用电线路按规范使用。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现场作业、运输、存放材料等采取防尘、降噪措施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异常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严禁电缆贴地随意拖拉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异常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严禁泥浆、污水、废水外流或堵塞下水道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施工场地干净整洁，禁止施工现场随处吸烟、流动吸烟。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现场材料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设置材料堆放区，布局合理、堆放整齐并标明名称、规格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ind w:left="4770" w:hanging="4770" w:hangingChars="26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施工场地垃圾及时清运，禁止凌空抛掷施工材料及器具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易燃易爆物品采取防护措施并进行分类存放，严禁现场焚烧各类废弃物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其它要求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施工区域、危险部位、设施按规悬挂安全标志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建立施工不扰民措施，未经许可，禁止夜间施工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施工区域采取防粉尘、防噪音等措施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9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严禁施工人员打架斗殴、偷窃等行为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高危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作业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动火作业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使用电焊、气焊（割）、喷灯、电钻、砂轮等可能产生火焰、火花和炽热表面的临时性作业防火措施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异常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项目1电焊火花存在安全隐患。</w:t>
            </w: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要求搭建安全通道，配备专职安全员疏通人员通行。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高处作业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tabs>
                <w:tab w:val="left" w:pos="5040"/>
              </w:tabs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使用合格设备，搭设规范，人员培训合格，其他防护措施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受限空间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地下室（半封闭场所）、井、坑（池）、道等场所防护措施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临时用电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专人负责、持证上岗、规范使用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断路作业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安全围栏、警示、指示等标识，夜间照明等防护措施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破土作业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土建施工、挖掘深坑、深槽等可能造成坍塌、高处坠落的土石方防护措施，地下管线设施防护措施。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吊装作业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使用设备合格，人员持证，方案、措施、应急救援明确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盲板抽堵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tabs>
                <w:tab w:val="left" w:pos="5040"/>
              </w:tabs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从业资格证、专人监护、佩戴专用防护用品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安全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用电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人员管理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场地内接线等专人专管、持证上岗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配电箱线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配电装置的布设应符合规范要求，设置警示标志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线路架设符合规范，无老化破损，接头处理得当，线路截面满足负荷电流，用电设备“一机、一闸、一漏、一箱”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现场照明</w:t>
            </w: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照明用电与动力用电分设；特殊场所和手持照明灯应采用安全电压供电；灯具与地面、易燃物间的距离应符合规范要求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按规范要求配备应急照明，照明专用回路安装漏电保护器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9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线路架设符合规范，灯具与地面、易燃物之间有安全距离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安全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防火</w:t>
            </w:r>
          </w:p>
        </w:tc>
        <w:tc>
          <w:tcPr>
            <w:tcW w:w="1091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电气防火</w:t>
            </w: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接头不松动，无电火花发生，电气设备的过载、短路保护装置性能可靠，设备绝缘良好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合理选用电气设备，有易燃易爆物品的场所，应选用防爆电器设备，绝缘导线必须密封敷设于钢管内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通风，在易燃易爆危险场所运行的电气设备，有良好的风，降低爆炸性混合物的浓度，其通风系统应符合有关要求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接地，在易燃易爆危险场所的接地比一般场所要求高，不论其电压高低，正常不带电装置均应按有关规定可靠接地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现场防火</w:t>
            </w: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配备专(兼)职消防安全员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制定消防措施、制度，配备灭火器材，落实人员防火教育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施工现场要有明显的防火宣传标志，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易燃材料堆放区域合理，便于及时灭火抢救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7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消防水源禁止遮挡或破坏，需满足消防要求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正常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每日</w:t>
            </w:r>
          </w:p>
        </w:tc>
        <w:tc>
          <w:tcPr>
            <w:tcW w:w="199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0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after="156" w:afterLines="50" w:line="400" w:lineRule="exact"/>
        <w:ind w:firstLine="211" w:firstLineChars="100"/>
        <w:rPr>
          <w:rFonts w:ascii="宋体" w:hAnsi="宋体"/>
          <w:b/>
        </w:rPr>
      </w:pPr>
      <w:r>
        <w:rPr>
          <w:rFonts w:hint="eastAsia" w:ascii="宋体" w:hAnsi="宋体"/>
          <w:b/>
        </w:rPr>
        <w:t>表7-2：雁塔校区修缮工程施工现场安全检查日查月报表 （4月1</w:t>
      </w:r>
      <w:r>
        <w:rPr>
          <w:rFonts w:hint="eastAsia" w:ascii="宋体" w:hAnsi="宋体"/>
          <w:b/>
          <w:lang w:val="en-US" w:eastAsia="zh-CN"/>
        </w:rPr>
        <w:t>6</w:t>
      </w:r>
      <w:r>
        <w:rPr>
          <w:rFonts w:hint="eastAsia" w:ascii="宋体" w:hAnsi="宋体"/>
          <w:b/>
        </w:rPr>
        <w:t>日—4月30日）                             巡查人：王攀、李明亮</w:t>
      </w:r>
    </w:p>
    <w:tbl>
      <w:tblPr>
        <w:tblStyle w:val="8"/>
        <w:tblW w:w="1492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107"/>
        <w:gridCol w:w="5762"/>
        <w:gridCol w:w="1078"/>
        <w:gridCol w:w="1063"/>
        <w:gridCol w:w="1814"/>
        <w:gridCol w:w="1858"/>
        <w:gridCol w:w="1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04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项目施工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完成进度</w:t>
            </w:r>
          </w:p>
        </w:tc>
        <w:tc>
          <w:tcPr>
            <w:tcW w:w="12885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1、13#号住宅楼加建电梯设备安装项目，完成进度50%；</w:t>
            </w:r>
          </w:p>
          <w:p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2、 国际教育学院（原招待所）装修项目，完成进度70%。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检查项目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检查内容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执行状况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检查周期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存在问题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整改措施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整改结果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安全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管理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安全警示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工程概况牌、安全生产牌、消防保卫牌、环境保护牌、文明施工牌、施工现场总平面图，根据工程内容入场前张贴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入场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根据需求张贴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禁止、警告、指令、提示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等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四类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标志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入场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牌、标志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安装位置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是否合理，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安全标志的维护与管理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及时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安全防护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“三宝”：</w:t>
            </w:r>
            <w:r>
              <w:fldChar w:fldCharType="begin"/>
            </w:r>
            <w:r>
              <w:instrText xml:space="preserve"> HYPERLINK "https://www.baidu.com/s?wd=%E5%AE%89%E5%85%A8%E5%B8%BD&amp;tn=44039180_cpr&amp;fenlei=mv6quAkxTZn0IZRqIHckPjm4nH00T1dbmWTvuAPhrH7bmWPWPWTk0ZwV5Hcvrjm3rH6sPfKWUMw85HfYnjn4nH6sgvPsT6KdThsqpZwYTjCEQLGCpyw9Uz4Bmy-bIi4WUvYETgN-TLwGUv3EPjTkPjRvPWfv"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安全帽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、安全带、安全网佩戴情况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异常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项目1电梯安装未佩戴安全绳、带。</w:t>
            </w: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要求安要求佩戴安全绳、带。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已整改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“四口”：预留洞口、电梯井口、通道口、楼梯口做好防护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“五临边”：楼面临边、屋面临边、阳台临边、升降口临边、基坑临边做好安全防护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安全施工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健全、落实安全责任制，签订《施工安全责任书》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入场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项目1未检出从业资格证入场。</w:t>
            </w: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要求及时上报人员从业资格证书。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做好“三级安全教育”，做到“上岗交底、上岗检查”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配备专(兼)职安全员</w:t>
            </w:r>
            <w:r>
              <w:rPr>
                <w:rFonts w:hint="eastAsia" w:ascii="宋体" w:hAnsi="宋体"/>
                <w:sz w:val="18"/>
                <w:szCs w:val="18"/>
              </w:rPr>
              <w:t>，特殊工种持从业资格证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FF0000"/>
              </w:rPr>
              <w:t>异常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机具管理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机械、工具合格，操作人员持证上岗，停放、摆放得当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文明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施工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施工围挡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校区一般路段的工地周围设置高于1.8m的封闭围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入场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项目1拆箱垃圾堆放乱。</w:t>
            </w: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要求进行集中处理，及时外运。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围挡材料坚固、稳定、整洁、美观，要沿工地四周连续设置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FF0000"/>
              </w:rPr>
              <w:t>异常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入场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施工区域、危险部位、设施按规定悬挂安全标志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入场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施工场地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现场道路畅通、路面平整、坚实、整洁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现场作业、运输、存放材料等采取防尘、降噪措施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严禁电缆贴地随意拖拉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严禁泥浆、污水、废水外流或堵塞下水道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施工场地干净整洁，禁止施工现场随处吸烟、流动吸烟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现场材料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设置材料堆放区，布局合理、堆放整齐并标明名称、规格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施工场地垃圾及时清运，禁止凌空抛掷施工材料及器具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易燃易爆物品采取防护措施并进行分类存放，严禁现场焚烧各类废弃物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其它要求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施工区域、危险部位、设施按规悬挂安全标志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项目2焊接作业粉尘、噪音较大，影响周边人员办公、休息。</w:t>
            </w: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要求集中时间段抓紧施工，按相关措施进行处理。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建立施工不扰民措施，未经许可，禁止夜间施工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施工区域采取防粉尘、防噪音等措施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异常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37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严禁施工人员打架斗殴、偷窃等行为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高危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作业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动火作业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使用</w:t>
            </w:r>
            <w:r>
              <w:rPr>
                <w:rFonts w:hint="eastAsia" w:ascii="宋体" w:hAnsi="宋体"/>
                <w:sz w:val="18"/>
                <w:szCs w:val="18"/>
              </w:rPr>
              <w:t>电焊、气焊（割）、喷灯、电钻、砂轮</w:t>
            </w:r>
            <w:r>
              <w:rPr>
                <w:rFonts w:ascii="宋体" w:hAnsi="宋体"/>
                <w:sz w:val="18"/>
                <w:szCs w:val="18"/>
              </w:rPr>
              <w:t>等可能产生火焰、火花和炽热表面的临时性作业</w:t>
            </w:r>
            <w:r>
              <w:rPr>
                <w:rFonts w:hint="eastAsia" w:ascii="宋体" w:hAnsi="宋体"/>
                <w:sz w:val="18"/>
                <w:szCs w:val="18"/>
              </w:rPr>
              <w:t>防火措施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异常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项目1电气作业存在安全隐患，危及行人安全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要求集中作业，配备安全员疏道行人通行。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高处作业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tabs>
                <w:tab w:val="left" w:pos="5040"/>
              </w:tabs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使用合格设备，搭设规范，人员培训合格，其他防护措施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 w:cs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受限空间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地下室（半封闭场所）、井、坑（池）、道等场所</w:t>
            </w:r>
            <w:r>
              <w:rPr>
                <w:rFonts w:hint="eastAsia" w:ascii="宋体" w:hAnsi="宋体"/>
                <w:sz w:val="18"/>
                <w:szCs w:val="18"/>
              </w:rPr>
              <w:t>防护措施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临时用电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专人负责、持证上岗、规范使用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断路作业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安全围栏、警示、指示等标识，夜间照明等防护措施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破土作业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土建施工、挖掘深坑、深槽等可能造成坍塌、高处坠落的土石方防护措施，地下管线设施防护措施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吊装作业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使用设备合格，人员持证，方案、措施、应急救援明确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盲板抽堵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tabs>
                <w:tab w:val="left" w:pos="5040"/>
              </w:tabs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从业资格证、专人监护、佩戴专用防护用品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安全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用电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人员管理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场地内接线等专人专管、持证上岗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配电箱线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配电装置的布设应符合规范要求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设置警示标志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线路架设符合规范，无老化破损，接头处理得当，线路截面满足负荷电流，用电设备“一机、一闸、一漏、一箱”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现场照明</w:t>
            </w: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照明用电与动力用电分设；特殊场所和手持照明灯应采用安全电压供电；灯具与地面、易燃物间的距离应符合规范要求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按规范要求配备应急照明</w:t>
            </w:r>
            <w:r>
              <w:rPr>
                <w:rFonts w:hint="eastAsia" w:ascii="宋体" w:hAnsi="宋体"/>
                <w:sz w:val="18"/>
                <w:szCs w:val="18"/>
              </w:rPr>
              <w:t>，照明专用回路安装漏电保护器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线路架设符合规范</w:t>
            </w:r>
            <w:r>
              <w:rPr>
                <w:rFonts w:hint="eastAsia" w:ascii="宋体" w:hAnsi="宋体"/>
                <w:sz w:val="18"/>
                <w:szCs w:val="18"/>
              </w:rPr>
              <w:t>，灯具与地面、易燃物之间有安全距离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安全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防火</w:t>
            </w:r>
          </w:p>
        </w:tc>
        <w:tc>
          <w:tcPr>
            <w:tcW w:w="110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电气防火</w:t>
            </w: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接头</w:t>
            </w:r>
            <w:r>
              <w:rPr>
                <w:rFonts w:hint="eastAsia" w:ascii="宋体" w:hAnsi="宋体"/>
                <w:sz w:val="18"/>
                <w:szCs w:val="18"/>
              </w:rPr>
              <w:t>不</w:t>
            </w:r>
            <w:r>
              <w:rPr>
                <w:rFonts w:ascii="宋体" w:hAnsi="宋体"/>
                <w:sz w:val="18"/>
                <w:szCs w:val="18"/>
              </w:rPr>
              <w:t>松动，无电火花发生，电气设备的过载、短路保护装置性能可靠，设备绝缘良好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合理选用电气设备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有易燃易爆物品的场所，应选用防爆电器设备，绝缘导线必须密封敷设于钢管内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通风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在易燃易爆危险场所运行的电气设备，有良好的风，降低爆炸性混合物的浓度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其通风系统应符合有关要求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接地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在易燃易爆危险场所的接地比一般场所要求高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不论其电压高低，正常不带电装置均应按有关规定可靠接地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现场防火</w:t>
            </w: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配备专(兼)职</w:t>
            </w:r>
            <w:r>
              <w:rPr>
                <w:rFonts w:hint="eastAsia" w:ascii="宋体" w:hAnsi="宋体"/>
                <w:sz w:val="18"/>
                <w:szCs w:val="18"/>
              </w:rPr>
              <w:t>消防</w:t>
            </w:r>
            <w:r>
              <w:rPr>
                <w:rFonts w:ascii="宋体" w:hAnsi="宋体"/>
                <w:sz w:val="18"/>
                <w:szCs w:val="18"/>
              </w:rPr>
              <w:t>安全员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制定消防措施、制度，配备灭火器材，落实人员防火教育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施工现场要有明显的防火宣传标志，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易燃材料堆放区域合理，便于及时灭火抢救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正常</w:t>
            </w:r>
          </w:p>
        </w:tc>
        <w:tc>
          <w:tcPr>
            <w:tcW w:w="1063" w:type="dxa"/>
            <w:shd w:val="clear" w:color="auto" w:fill="auto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</w:tcPr>
          <w:p>
            <w:pPr>
              <w:spacing w:line="22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消防水源禁止遮挡或破坏，需满足消防要求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正常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每日</w:t>
            </w:r>
          </w:p>
        </w:tc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ascii="宋体" w:cs="宋体"/>
          <w:szCs w:val="21"/>
        </w:rPr>
      </w:pPr>
    </w:p>
    <w:sectPr>
      <w:footerReference r:id="rId4" w:type="default"/>
      <w:pgSz w:w="16838" w:h="11906" w:orient="landscape"/>
      <w:pgMar w:top="720" w:right="720" w:bottom="-674" w:left="720" w:header="56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60E6930"/>
    <w:rsid w:val="000867BD"/>
    <w:rsid w:val="000A0627"/>
    <w:rsid w:val="000A5438"/>
    <w:rsid w:val="001210A4"/>
    <w:rsid w:val="0015410E"/>
    <w:rsid w:val="001726D3"/>
    <w:rsid w:val="001C5ECB"/>
    <w:rsid w:val="001E0972"/>
    <w:rsid w:val="00263BB7"/>
    <w:rsid w:val="00270774"/>
    <w:rsid w:val="00271DAF"/>
    <w:rsid w:val="00296185"/>
    <w:rsid w:val="00306AF9"/>
    <w:rsid w:val="00307C90"/>
    <w:rsid w:val="00332C22"/>
    <w:rsid w:val="003634A1"/>
    <w:rsid w:val="00371783"/>
    <w:rsid w:val="003B4E89"/>
    <w:rsid w:val="003D6A79"/>
    <w:rsid w:val="003D6BB3"/>
    <w:rsid w:val="003E34AC"/>
    <w:rsid w:val="00406ECC"/>
    <w:rsid w:val="004B0112"/>
    <w:rsid w:val="004B7165"/>
    <w:rsid w:val="00545C5B"/>
    <w:rsid w:val="0057460D"/>
    <w:rsid w:val="00580832"/>
    <w:rsid w:val="00587200"/>
    <w:rsid w:val="00611E85"/>
    <w:rsid w:val="0063461B"/>
    <w:rsid w:val="006D220F"/>
    <w:rsid w:val="00742978"/>
    <w:rsid w:val="007846B8"/>
    <w:rsid w:val="007C331A"/>
    <w:rsid w:val="007E6486"/>
    <w:rsid w:val="007F4181"/>
    <w:rsid w:val="00852CB0"/>
    <w:rsid w:val="00856DB9"/>
    <w:rsid w:val="00893CC0"/>
    <w:rsid w:val="008D4E8D"/>
    <w:rsid w:val="008E3E37"/>
    <w:rsid w:val="008F0F8D"/>
    <w:rsid w:val="009049AF"/>
    <w:rsid w:val="00912FAE"/>
    <w:rsid w:val="009239A1"/>
    <w:rsid w:val="00931BE6"/>
    <w:rsid w:val="00957396"/>
    <w:rsid w:val="00967E58"/>
    <w:rsid w:val="00994AAA"/>
    <w:rsid w:val="009B6657"/>
    <w:rsid w:val="009C479D"/>
    <w:rsid w:val="009D113E"/>
    <w:rsid w:val="009D1275"/>
    <w:rsid w:val="009F3CFE"/>
    <w:rsid w:val="00A20802"/>
    <w:rsid w:val="00A22DE5"/>
    <w:rsid w:val="00A64AFE"/>
    <w:rsid w:val="00A70E82"/>
    <w:rsid w:val="00AF39CC"/>
    <w:rsid w:val="00B930A8"/>
    <w:rsid w:val="00B9379B"/>
    <w:rsid w:val="00BC4B34"/>
    <w:rsid w:val="00BD6A10"/>
    <w:rsid w:val="00C24780"/>
    <w:rsid w:val="00C363ED"/>
    <w:rsid w:val="00C61365"/>
    <w:rsid w:val="00C62F71"/>
    <w:rsid w:val="00C9658C"/>
    <w:rsid w:val="00D149EA"/>
    <w:rsid w:val="00D34881"/>
    <w:rsid w:val="00D72BF2"/>
    <w:rsid w:val="00D9617F"/>
    <w:rsid w:val="00DC63F0"/>
    <w:rsid w:val="00DD50F2"/>
    <w:rsid w:val="00DE4B3B"/>
    <w:rsid w:val="00E53712"/>
    <w:rsid w:val="00E774E7"/>
    <w:rsid w:val="00EB7179"/>
    <w:rsid w:val="00F00835"/>
    <w:rsid w:val="00F52E2F"/>
    <w:rsid w:val="00F551F4"/>
    <w:rsid w:val="00F57338"/>
    <w:rsid w:val="00F65A12"/>
    <w:rsid w:val="00F70DFC"/>
    <w:rsid w:val="00F94C1F"/>
    <w:rsid w:val="00F97434"/>
    <w:rsid w:val="00FA37B8"/>
    <w:rsid w:val="01731AEE"/>
    <w:rsid w:val="035D1850"/>
    <w:rsid w:val="038E2ED1"/>
    <w:rsid w:val="03D87D93"/>
    <w:rsid w:val="064432CC"/>
    <w:rsid w:val="08E90E1F"/>
    <w:rsid w:val="09105446"/>
    <w:rsid w:val="098869E4"/>
    <w:rsid w:val="0BEB4ADF"/>
    <w:rsid w:val="0C0C22C6"/>
    <w:rsid w:val="0C21213B"/>
    <w:rsid w:val="0C896885"/>
    <w:rsid w:val="10713B22"/>
    <w:rsid w:val="14C6000D"/>
    <w:rsid w:val="14F011AC"/>
    <w:rsid w:val="155C5DCC"/>
    <w:rsid w:val="15B541D9"/>
    <w:rsid w:val="15ED53DB"/>
    <w:rsid w:val="160E6930"/>
    <w:rsid w:val="16DA7338"/>
    <w:rsid w:val="1968292C"/>
    <w:rsid w:val="199E6E19"/>
    <w:rsid w:val="19BA3996"/>
    <w:rsid w:val="1E6A24C1"/>
    <w:rsid w:val="1EAB2D06"/>
    <w:rsid w:val="1ED065D2"/>
    <w:rsid w:val="20263484"/>
    <w:rsid w:val="20764394"/>
    <w:rsid w:val="213E364A"/>
    <w:rsid w:val="23971524"/>
    <w:rsid w:val="26794D9F"/>
    <w:rsid w:val="28726AB7"/>
    <w:rsid w:val="289E4A03"/>
    <w:rsid w:val="297A0322"/>
    <w:rsid w:val="2A2B2FEA"/>
    <w:rsid w:val="2B8F0992"/>
    <w:rsid w:val="2BD40E29"/>
    <w:rsid w:val="2CBD6706"/>
    <w:rsid w:val="2DAC791F"/>
    <w:rsid w:val="2E3B5F83"/>
    <w:rsid w:val="2E4E01D5"/>
    <w:rsid w:val="2E61570D"/>
    <w:rsid w:val="2ECB68C4"/>
    <w:rsid w:val="2F370905"/>
    <w:rsid w:val="2F5E3558"/>
    <w:rsid w:val="2F8554B9"/>
    <w:rsid w:val="2F873551"/>
    <w:rsid w:val="2F98573D"/>
    <w:rsid w:val="2FC36BB0"/>
    <w:rsid w:val="2FE02626"/>
    <w:rsid w:val="322A7A72"/>
    <w:rsid w:val="323C1BE4"/>
    <w:rsid w:val="32425F0A"/>
    <w:rsid w:val="326E5DEA"/>
    <w:rsid w:val="33183BA2"/>
    <w:rsid w:val="33A02BAE"/>
    <w:rsid w:val="39A62654"/>
    <w:rsid w:val="39CF14EE"/>
    <w:rsid w:val="3AA370EF"/>
    <w:rsid w:val="3AEB4292"/>
    <w:rsid w:val="3BCD7D03"/>
    <w:rsid w:val="3D0F5966"/>
    <w:rsid w:val="3D6C183C"/>
    <w:rsid w:val="3E982B84"/>
    <w:rsid w:val="40027015"/>
    <w:rsid w:val="40B574B1"/>
    <w:rsid w:val="417541BA"/>
    <w:rsid w:val="41DF1E2D"/>
    <w:rsid w:val="426F6252"/>
    <w:rsid w:val="432A4091"/>
    <w:rsid w:val="432E3C86"/>
    <w:rsid w:val="43C2447E"/>
    <w:rsid w:val="46112F3F"/>
    <w:rsid w:val="461D20FB"/>
    <w:rsid w:val="46334223"/>
    <w:rsid w:val="46A92727"/>
    <w:rsid w:val="47861E3D"/>
    <w:rsid w:val="490D2F61"/>
    <w:rsid w:val="4CFB2B2F"/>
    <w:rsid w:val="4E8F22EB"/>
    <w:rsid w:val="4EDE400B"/>
    <w:rsid w:val="4EDE7B8F"/>
    <w:rsid w:val="50FB4A3E"/>
    <w:rsid w:val="53B12248"/>
    <w:rsid w:val="543F07EB"/>
    <w:rsid w:val="54545C86"/>
    <w:rsid w:val="552964AD"/>
    <w:rsid w:val="56895E76"/>
    <w:rsid w:val="590B2F9B"/>
    <w:rsid w:val="59C6770F"/>
    <w:rsid w:val="59E64636"/>
    <w:rsid w:val="5AC84C40"/>
    <w:rsid w:val="5C11755B"/>
    <w:rsid w:val="5C2772A7"/>
    <w:rsid w:val="5D4A594F"/>
    <w:rsid w:val="5F4F56B4"/>
    <w:rsid w:val="5F971F7A"/>
    <w:rsid w:val="61867603"/>
    <w:rsid w:val="61A83D9A"/>
    <w:rsid w:val="62E711AB"/>
    <w:rsid w:val="638F507D"/>
    <w:rsid w:val="64FC74B8"/>
    <w:rsid w:val="659A671E"/>
    <w:rsid w:val="664E3FCB"/>
    <w:rsid w:val="67EE4BF3"/>
    <w:rsid w:val="687102C3"/>
    <w:rsid w:val="693032F9"/>
    <w:rsid w:val="69D90A1E"/>
    <w:rsid w:val="6B5C07DE"/>
    <w:rsid w:val="6BB97E13"/>
    <w:rsid w:val="6C0016B0"/>
    <w:rsid w:val="6C4D4FA9"/>
    <w:rsid w:val="6D6B7B20"/>
    <w:rsid w:val="6DC2450B"/>
    <w:rsid w:val="6E4062E2"/>
    <w:rsid w:val="6E8E30A0"/>
    <w:rsid w:val="6EC51C1E"/>
    <w:rsid w:val="6EF041E5"/>
    <w:rsid w:val="70296AA0"/>
    <w:rsid w:val="718E0DFC"/>
    <w:rsid w:val="71C4256E"/>
    <w:rsid w:val="751B1C25"/>
    <w:rsid w:val="76600B3F"/>
    <w:rsid w:val="771A7908"/>
    <w:rsid w:val="79427CD7"/>
    <w:rsid w:val="79FB5EB6"/>
    <w:rsid w:val="7B9D7000"/>
    <w:rsid w:val="7CF6613C"/>
    <w:rsid w:val="7D1C73D1"/>
    <w:rsid w:val="7E7F741F"/>
    <w:rsid w:val="7EC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qFormat/>
    <w:uiPriority w:val="99"/>
    <w:pPr>
      <w:shd w:val="clear" w:color="auto" w:fill="00008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99"/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0">
    <w:name w:val="标题 1 字符"/>
    <w:link w:val="2"/>
    <w:qFormat/>
    <w:locked/>
    <w:uiPriority w:val="99"/>
    <w:rPr>
      <w:rFonts w:cs="Times New Roman"/>
      <w:b/>
      <w:kern w:val="44"/>
      <w:sz w:val="44"/>
    </w:rPr>
  </w:style>
  <w:style w:type="character" w:customStyle="1" w:styleId="11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文档结构图 字符"/>
    <w:link w:val="3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9229</Words>
  <Characters>9979</Characters>
  <Lines>101</Lines>
  <Paragraphs>28</Paragraphs>
  <ScaleCrop>false</ScaleCrop>
  <LinksUpToDate>false</LinksUpToDate>
  <CharactersWithSpaces>10725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2017-06-01T02:28:00Z</dcterms:created>
  <dc:creator>Administrator</dc:creator>
  <cp:lastModifiedBy>Administrator</cp:lastModifiedBy>
  <cp:lastPrinted>2018-04-23T08:03:00Z</cp:lastPrinted>
  <dcterms:modified xsi:type="dcterms:W3CDTF">2018-05-15T01:24:13Z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